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umentTitle"/>
        <w:spacing w:before="200" w:after="200"/>
        <w:rPr>
          <w:lang w:val="de-DE"/>
        </w:rPr>
      </w:pPr>
      <w:r>
        <w:rPr>
          <w:lang w:val="de-DE"/>
        </w:rPr>
        <w:t>Medienmitteilung</w:t>
      </w:r>
    </w:p>
    <w:p>
      <w:pPr>
        <w:pStyle w:val="TextHeader"/>
        <w:rPr>
          <w:rFonts w:cs="Calibri" w:cstheme="minorHAnsi"/>
          <w:sz w:val="22"/>
          <w:szCs w:val="22"/>
          <w:lang w:val="de-DE"/>
        </w:rPr>
      </w:pPr>
      <w:r>
        <w:rPr>
          <w:rFonts w:cs="Calibri" w:cstheme="minorHAnsi"/>
          <w:sz w:val="22"/>
          <w:szCs w:val="22"/>
          <w:lang w:val="de-DE"/>
        </w:rPr>
      </w:r>
    </w:p>
    <w:p>
      <w:pPr>
        <w:pStyle w:val="TextHeader"/>
        <w:rPr>
          <w:rFonts w:cs="Calibri" w:cstheme="minorHAnsi"/>
          <w:sz w:val="22"/>
          <w:szCs w:val="22"/>
          <w:lang w:val="de-DE"/>
        </w:rPr>
      </w:pPr>
      <w:r>
        <w:rPr>
          <w:rFonts w:cs="Calibri" w:cstheme="minorHAnsi"/>
          <w:sz w:val="22"/>
          <w:szCs w:val="22"/>
          <w:lang w:val="de-DE"/>
        </w:rPr>
        <w:t>Kardex Mlog erweitert und modernisiert im laufenden Betrieb</w:t>
      </w:r>
    </w:p>
    <w:p>
      <w:pPr>
        <w:pStyle w:val="TextHeader"/>
        <w:rPr>
          <w:rFonts w:cs="Calibri" w:cstheme="minorHAnsi"/>
          <w:sz w:val="22"/>
          <w:szCs w:val="22"/>
          <w:lang w:val="de-DE"/>
        </w:rPr>
      </w:pPr>
      <w:r>
        <w:rPr>
          <w:rFonts w:cs="Calibri"/>
          <w:sz w:val="34"/>
          <w:szCs w:val="34"/>
          <w:lang w:val="de-DE"/>
        </w:rPr>
        <w:t>Neue Fördertechnik im apetito Tiefkühllager</w:t>
      </w:r>
    </w:p>
    <w:p>
      <w:pPr>
        <w:pStyle w:val="TextHeader"/>
        <w:spacing w:lineRule="auto" w:line="360"/>
        <w:rPr>
          <w:rFonts w:cs="Calibri" w:cstheme="minorHAnsi"/>
          <w:sz w:val="22"/>
          <w:szCs w:val="22"/>
          <w:lang w:val="de-DE"/>
        </w:rPr>
      </w:pPr>
      <w:r>
        <w:rPr>
          <w:rFonts w:cs="Calibri" w:cstheme="majorHAnsi"/>
          <w:bCs/>
          <w:i/>
          <w:sz w:val="22"/>
          <w:szCs w:val="22"/>
          <w:lang w:val="de-DE"/>
        </w:rPr>
        <w:t xml:space="preserve">Neuenstadt, 03.12.20 – </w:t>
      </w:r>
      <w:r>
        <w:rPr>
          <w:rFonts w:cs="Calibri" w:cstheme="minorHAnsi"/>
          <w:sz w:val="22"/>
          <w:szCs w:val="22"/>
          <w:lang w:val="de-DE"/>
        </w:rPr>
        <w:t>Mit einer umfangreichen Erweiterung der Fördertechnik in und an zwei Tiefkühllägern im Logistikzentrum Rheine wird Kardex Mlog den Materialfluss des Verpflegungsspezialisten apetito auf den neuesten Stand bringen. Der Auftrag umfasst eine neue Förderanlage sowie die Anlagensteuerung und -visualisierung und ist die Fortsetzung einer langjährigen Partnerschaft.</w:t>
      </w:r>
    </w:p>
    <w:p>
      <w:pPr>
        <w:pStyle w:val="Normal"/>
        <w:spacing w:lineRule="auto" w:line="360"/>
        <w:rPr>
          <w:lang w:val="de-DE"/>
        </w:rPr>
      </w:pPr>
      <w:r>
        <w:rPr>
          <w:lang w:val="de-DE"/>
        </w:rPr>
        <w:t>Die beiden TK-Spezialisten apetito und Kardex Mlog verbinden zahlreiche Projekte, die zu immer neuen Meilensteinen in der Tiefkühllogistik geführt haben. Unter anderem konnte apetito am Standort Rheine 2017 mit dem Lager TK08 eines der höchsten und größten Tiefkühlläger Deutschlands in Betrieb nehmen – errichtet durch den Generalunternehmer Kardex Mlog. „Die Optimierung unserer Logistikprozesse ist jedoch auch ein kontinuierlicher Prozess der kleinen und größeren Schritte“, so Thorsten Bischof, Projektleiter bei apetito.</w:t>
      </w:r>
    </w:p>
    <w:p>
      <w:pPr>
        <w:pStyle w:val="Normal"/>
        <w:spacing w:lineRule="auto" w:line="360"/>
        <w:rPr>
          <w:lang w:val="de-DE"/>
        </w:rPr>
      </w:pPr>
      <w:r>
        <w:rPr>
          <w:lang w:val="de-DE"/>
        </w:rPr>
        <w:t xml:space="preserve">Einer dieser Schritte ist die aktuelle Erweiterung und Modernisierung der Fördertechnik, die in direkter Nachbarschaft des 43 Meter hohen Wahrzeichens des Logistikzentrums umgesetzt wird. Installiert werden besonders robuste und leistungsstarke Komponenten für den Einsatz unter den anspruchsvollen Bedingungen im Tiefkühlsektor. Diese werden exakt auf den Durchsatz der Läger angepasst, um einen reibungslosen Materialfluss zu gewährleisten. So erreichen die neuen Vertikalumsetzer eine Leistung von über 100 Pal/h, die Eckumsetzer ca. 160 Pal/h und die Fördergeschwindigkeiten liegen bei 0,3 m/s bis 0,5 m/s – je nach Erfordernis. </w:t>
      </w:r>
    </w:p>
    <w:p>
      <w:pPr>
        <w:pStyle w:val="Normal"/>
        <w:spacing w:lineRule="auto" w:line="360"/>
        <w:rPr>
          <w:lang w:val="de-DE"/>
        </w:rPr>
      </w:pPr>
      <w:r>
        <w:rPr>
          <w:lang w:val="de-DE"/>
        </w:rPr>
        <w:t xml:space="preserve">Ebenso nahtlos wie die Komponenten in den Bestand konnten auch die Arbeiten selbst in die Prozesse vor Ort integriert werden: Die Arbeiten erfolgten weitgehend im laufenden Betrieb. Für umfangreichere Projektabschnitte wie den Austausch und die Inbetriebnahme von Vertikalumsetzern werden betriebsfreie Zeiten genutzt, sodass die Produktion über den gesamten Zeitraum der Arbeiten uneingeschränkt fortlaufen kann. </w:t>
      </w:r>
    </w:p>
    <w:p>
      <w:pPr>
        <w:pStyle w:val="Normal"/>
        <w:spacing w:lineRule="auto" w:line="360"/>
        <w:rPr>
          <w:i/>
          <w:i/>
          <w:iCs/>
          <w:lang w:val="de-DE"/>
        </w:rPr>
      </w:pPr>
      <w:r>
        <w:rPr>
          <w:i/>
          <w:iCs/>
          <w:lang w:val="de-DE"/>
        </w:rPr>
        <w:t>2.059 Zeichen inkl. Leerzeichen</w:t>
      </w:r>
    </w:p>
    <w:p>
      <w:pPr>
        <w:pStyle w:val="Normal"/>
        <w:rPr>
          <w:lang w:val="de-DE"/>
        </w:rPr>
      </w:pPr>
      <w:r>
        <w:rPr>
          <w:lang w:val="de-DE"/>
        </w:rPr>
      </w:r>
    </w:p>
    <w:p>
      <w:pPr>
        <w:pStyle w:val="TextHeader"/>
        <w:rPr>
          <w:lang w:val="de-DE"/>
        </w:rPr>
      </w:pPr>
      <w:r>
        <w:rPr>
          <w:lang w:val="de-DE"/>
        </w:rPr>
        <w:t xml:space="preserve">Weitere Informationen unter: </w:t>
      </w:r>
    </w:p>
    <w:p>
      <w:pPr>
        <w:pStyle w:val="Normal"/>
        <w:rPr>
          <w:lang w:val="de-DE"/>
        </w:rPr>
      </w:pPr>
      <w:r>
        <w:rPr>
          <w:lang w:val="de-DE"/>
        </w:rPr>
        <w:t xml:space="preserve">www.kardex-mlog.de </w:t>
      </w:r>
    </w:p>
    <w:p>
      <w:pPr>
        <w:pStyle w:val="Normal"/>
        <w:rPr>
          <w:lang w:val="de-DE"/>
        </w:rPr>
      </w:pPr>
      <w:r>
        <w:rPr>
          <w:lang w:val="de-DE"/>
        </w:rPr>
      </w:r>
    </w:p>
    <w:p>
      <w:pPr>
        <w:pStyle w:val="TextHeader"/>
        <w:rPr>
          <w:lang w:val="de-DE"/>
        </w:rPr>
      </w:pPr>
      <w:r>
        <w:rPr>
          <w:lang w:val="de-DE"/>
        </w:rPr>
        <w:t>Über Kardex Mlog</w:t>
      </w:r>
    </w:p>
    <w:p>
      <w:pPr>
        <w:pStyle w:val="Normal"/>
        <w:spacing w:before="0" w:after="0"/>
        <w:rPr>
          <w:rFonts w:ascii="Times New Roman" w:hAnsi="Times New Roman" w:eastAsia="Times New Roman" w:cs="Times New Roman"/>
          <w:color w:val="000000" w:themeColor="text1"/>
          <w:szCs w:val="20"/>
          <w:lang w:val="de-DE" w:eastAsia="de-DE"/>
        </w:rPr>
      </w:pPr>
      <w:r>
        <w:rPr>
          <w:rFonts w:eastAsia="Times New Roman" w:cs="Calibri"/>
          <w:b/>
          <w:bCs/>
          <w:color w:val="000000" w:themeColor="text1"/>
          <w:szCs w:val="20"/>
          <w:lang w:val="de-DE" w:eastAsia="de-DE"/>
        </w:rPr>
        <w:t>Kardex Mlog</w:t>
      </w:r>
      <w:r>
        <w:rPr>
          <w:rFonts w:eastAsia="Times New Roman" w:cs="Calibri"/>
          <w:color w:val="000000" w:themeColor="text1"/>
          <w:szCs w:val="20"/>
          <w:lang w:val="de-DE" w:eastAsia="de-DE"/>
        </w:rPr>
        <w:t> (</w:t>
      </w:r>
      <w:hyperlink r:id="rId2">
        <w:r>
          <w:rPr>
            <w:rFonts w:eastAsia="Times New Roman" w:cs="Calibri"/>
            <w:color w:val="000000" w:themeColor="text1"/>
            <w:szCs w:val="20"/>
            <w:u w:val="single"/>
            <w:lang w:val="de-DE" w:eastAsia="de-DE"/>
          </w:rPr>
          <w:t>www.kardex-mlog.</w:t>
        </w:r>
      </w:hyperlink>
      <w:r>
        <w:rPr>
          <w:rFonts w:eastAsia="Times New Roman" w:cs="Calibri"/>
          <w:color w:val="000000" w:themeColor="text1"/>
          <w:szCs w:val="20"/>
          <w:u w:val="single"/>
          <w:lang w:val="de-DE" w:eastAsia="de-DE"/>
        </w:rPr>
        <w:t>de</w:t>
      </w:r>
      <w:r>
        <w:rPr>
          <w:rFonts w:eastAsia="Times New Roman" w:cs="Calibri"/>
          <w:color w:val="000000" w:themeColor="text1"/>
          <w:szCs w:val="20"/>
          <w:lang w:val="de-DE" w:eastAsia="de-DE"/>
        </w:rPr>
        <w:t>) mit Sitz in Neuenstadt am Kocher ist einer der führenden Anbieter für integrierte Materialflusssysteme und Hochregallager.</w:t>
      </w:r>
    </w:p>
    <w:p>
      <w:pPr>
        <w:pStyle w:val="Normal"/>
        <w:spacing w:before="0" w:after="0"/>
        <w:rPr>
          <w:rFonts w:ascii="Times New Roman" w:hAnsi="Times New Roman" w:eastAsia="Times New Roman" w:cs="Times New Roman"/>
          <w:color w:val="000000" w:themeColor="text1"/>
          <w:szCs w:val="20"/>
          <w:lang w:val="de-DE" w:eastAsia="de-DE"/>
        </w:rPr>
      </w:pPr>
      <w:r>
        <w:rPr>
          <w:rFonts w:eastAsia="Times New Roman" w:cs="Calibri"/>
          <w:color w:val="000000" w:themeColor="text1"/>
          <w:szCs w:val="20"/>
          <w:lang w:val="de-DE" w:eastAsia="de-DE"/>
        </w:rPr>
        <w:t> </w:t>
      </w:r>
    </w:p>
    <w:p>
      <w:pPr>
        <w:pStyle w:val="Normal"/>
        <w:spacing w:before="0" w:after="0"/>
        <w:rPr>
          <w:rFonts w:ascii="Times New Roman" w:hAnsi="Times New Roman" w:eastAsia="Times New Roman" w:cs="Times New Roman"/>
          <w:color w:val="000000" w:themeColor="text1"/>
          <w:szCs w:val="20"/>
          <w:lang w:val="de-DE" w:eastAsia="de-DE"/>
        </w:rPr>
      </w:pPr>
      <w:r>
        <w:rPr>
          <w:rFonts w:eastAsia="Times New Roman" w:cs="Calibri"/>
          <w:color w:val="000000" w:themeColor="text1"/>
          <w:szCs w:val="20"/>
          <w:lang w:val="de-DE" w:eastAsia="de-DE"/>
        </w:rPr>
        <w:t>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300 Mitarbeitende, der Umsatz für das Jahr 2019 lag bei 79 Mio. Euro. Weitere Informationen zur Kardex-Gruppe unter: </w:t>
      </w:r>
      <w:hyperlink r:id="rId3">
        <w:r>
          <w:rPr>
            <w:rFonts w:eastAsia="Times New Roman" w:cs="Calibri"/>
            <w:color w:val="000000" w:themeColor="text1"/>
            <w:szCs w:val="20"/>
            <w:u w:val="single"/>
            <w:lang w:val="de-DE" w:eastAsia="de-DE"/>
          </w:rPr>
          <w:t>www.kardex.com/de/</w:t>
        </w:r>
      </w:hyperlink>
      <w:r>
        <w:rPr>
          <w:rFonts w:eastAsia="Times New Roman" w:cs="Calibri"/>
          <w:color w:val="000000" w:themeColor="text1"/>
          <w:szCs w:val="20"/>
          <w:lang w:val="de-DE" w:eastAsia="de-DE"/>
        </w:rPr>
        <w:t>.</w:t>
      </w:r>
    </w:p>
    <w:p>
      <w:pPr>
        <w:pStyle w:val="TextHeader"/>
        <w:rPr>
          <w:lang w:val="de-DE"/>
        </w:rPr>
      </w:pPr>
      <w:r>
        <w:rPr>
          <w:lang w:val="de-DE"/>
        </w:rPr>
        <w:t>Weitere Informationen:</w:t>
      </w:r>
    </w:p>
    <w:p>
      <w:pPr>
        <w:pStyle w:val="Normal"/>
        <w:spacing w:before="0" w:after="0"/>
        <w:rPr>
          <w:lang w:val="de-DE"/>
        </w:rPr>
      </w:pPr>
      <w:r>
        <w:rPr>
          <w:lang w:val="de-DE"/>
        </w:rPr>
        <w:t>MLOG Logistics GmbH</w:t>
      </w:r>
    </w:p>
    <w:p>
      <w:pPr>
        <w:pStyle w:val="Normal"/>
        <w:spacing w:before="0" w:after="0"/>
        <w:rPr>
          <w:lang w:val="de-DE"/>
        </w:rPr>
      </w:pPr>
      <w:r>
        <w:rPr>
          <w:lang w:val="de-DE"/>
        </w:rPr>
        <w:t>Wilhelm-Maybach-Straße 2</w:t>
      </w:r>
    </w:p>
    <w:p>
      <w:pPr>
        <w:pStyle w:val="Normal"/>
        <w:spacing w:before="0" w:after="0"/>
        <w:rPr>
          <w:lang w:val="de-DE"/>
        </w:rPr>
      </w:pPr>
      <w:r>
        <w:rPr>
          <w:lang w:val="de-DE"/>
        </w:rPr>
        <w:t xml:space="preserve">74196 Neuenstadt am Kocher </w:t>
      </w:r>
    </w:p>
    <w:p>
      <w:pPr>
        <w:pStyle w:val="Normal"/>
        <w:spacing w:before="0" w:after="0"/>
        <w:rPr>
          <w:lang w:val="de-DE"/>
        </w:rPr>
      </w:pPr>
      <w:r>
        <w:rPr>
          <w:lang w:val="de-DE"/>
        </w:rPr>
        <w:t>Tel.: +49 7139 / 4893-536</w:t>
      </w:r>
    </w:p>
    <w:p>
      <w:pPr>
        <w:pStyle w:val="Normal"/>
        <w:spacing w:before="0" w:after="0"/>
        <w:rPr>
          <w:lang w:val="de-DE"/>
        </w:rPr>
      </w:pPr>
      <w:r>
        <w:rPr>
          <w:lang w:val="de-DE"/>
        </w:rPr>
        <w:t>Fax: +49 7139 / 4893-99 536</w:t>
      </w:r>
    </w:p>
    <w:p>
      <w:pPr>
        <w:pStyle w:val="Normal"/>
        <w:spacing w:before="0" w:after="0"/>
        <w:rPr>
          <w:lang w:val="de-DE"/>
        </w:rPr>
      </w:pPr>
      <w:r>
        <w:rPr>
          <w:lang w:val="de-DE"/>
        </w:rPr>
        <w:t>E-Mail: presse.mlog@kardex.com</w:t>
      </w:r>
    </w:p>
    <w:p>
      <w:pPr>
        <w:pStyle w:val="Normal"/>
        <w:spacing w:before="0" w:after="0"/>
        <w:rPr>
          <w:lang w:val="de-DE"/>
        </w:rPr>
      </w:pPr>
      <w:r>
        <w:rPr>
          <w:lang w:val="de-DE"/>
        </w:rPr>
        <w:t>Internet: www.kardex-mlog.com</w:t>
      </w:r>
    </w:p>
    <w:p>
      <w:pPr>
        <w:pStyle w:val="TextHeader"/>
        <w:rPr>
          <w:lang w:val="de-DE"/>
        </w:rPr>
      </w:pPr>
      <w:r>
        <w:rPr>
          <w:lang w:val="de-DE"/>
        </w:rPr>
        <w:t>Pressereferentin:</w:t>
      </w:r>
    </w:p>
    <w:p>
      <w:pPr>
        <w:pStyle w:val="Normal"/>
        <w:spacing w:before="0" w:after="0"/>
        <w:rPr>
          <w:lang w:val="de-DE"/>
        </w:rPr>
      </w:pPr>
      <w:r>
        <w:rPr>
          <w:lang w:val="de-DE"/>
        </w:rPr>
        <w:t>Bettina Wittenberg</w:t>
      </w:r>
    </w:p>
    <w:p>
      <w:pPr>
        <w:pStyle w:val="Normal"/>
        <w:spacing w:before="0" w:after="0"/>
        <w:rPr>
          <w:lang w:val="de-DE"/>
        </w:rPr>
      </w:pPr>
      <w:r>
        <w:rPr>
          <w:lang w:val="de-DE"/>
        </w:rPr>
        <w:t>Tel.: +49 7139 / 4893-536</w:t>
      </w:r>
    </w:p>
    <w:p>
      <w:pPr>
        <w:pStyle w:val="Normal"/>
        <w:spacing w:before="0" w:after="0"/>
        <w:rPr>
          <w:lang w:val="de-DE"/>
        </w:rPr>
      </w:pPr>
      <w:r>
        <w:rPr>
          <w:lang w:val="de-DE"/>
        </w:rPr>
        <w:t xml:space="preserve">E-Mail: bettina.wittenberg@kardex.com </w:t>
      </w:r>
    </w:p>
    <w:sectPr>
      <w:footerReference w:type="default" r:id="rId4"/>
      <w:type w:val="nextPage"/>
      <w:pgSz w:w="11906" w:h="16838"/>
      <w:pgMar w:left="1418" w:right="1418" w:header="0" w:top="993" w:footer="283" w:bottom="17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Calibri">
    <w:charset w:val="01"/>
    <w:family w:val="swiss"/>
    <w:pitch w:val="variable"/>
  </w:font>
  <w:font w:name="Calibri (Body)">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W w:w="38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3094"/>
      <w:gridCol w:w="3798"/>
    </w:tblGrid>
    <w:tr>
      <w:trPr>
        <w:trHeight w:val="706" w:hRule="atLeast"/>
      </w:trPr>
      <w:tc>
        <w:tcPr>
          <w:tcW w:w="3094" w:type="dxa"/>
          <w:tcBorders>
            <w:top w:val="nil"/>
            <w:left w:val="nil"/>
            <w:bottom w:val="nil"/>
            <w:right w:val="nil"/>
          </w:tcBorders>
          <w:vAlign w:val="bottom"/>
        </w:tcPr>
        <w:p>
          <w:pPr>
            <w:pStyle w:val="Fuzeile"/>
            <w:widowControl/>
            <w:jc w:val="left"/>
            <w:rPr>
              <w:rFonts w:ascii="Calibri" w:hAnsi="Calibri" w:eastAsia="Calibri"/>
              <w:kern w:val="0"/>
              <w:szCs w:val="24"/>
              <w:lang w:bidi="ar-SA"/>
            </w:rPr>
          </w:pPr>
          <w:r>
            <w:rPr>
              <w:rFonts w:eastAsia="Calibri"/>
              <w:kern w:val="0"/>
              <w:szCs w:val="24"/>
              <w:lang w:bidi="ar-SA"/>
            </w:rPr>
            <w:drawing>
              <wp:inline distT="0" distB="0" distL="0" distR="0">
                <wp:extent cx="1508125" cy="252095"/>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1"/>
                        <a:stretch>
                          <a:fillRect/>
                        </a:stretch>
                      </pic:blipFill>
                      <pic:spPr bwMode="auto">
                        <a:xfrm>
                          <a:off x="0" y="0"/>
                          <a:ext cx="1508125" cy="252095"/>
                        </a:xfrm>
                        <a:prstGeom prst="rect">
                          <a:avLst/>
                        </a:prstGeom>
                      </pic:spPr>
                    </pic:pic>
                  </a:graphicData>
                </a:graphic>
              </wp:inline>
            </w:drawing>
          </w:r>
        </w:p>
      </w:tc>
      <w:tc>
        <w:tcPr>
          <w:tcW w:w="3798" w:type="dxa"/>
          <w:tcBorders>
            <w:top w:val="nil"/>
            <w:left w:val="nil"/>
            <w:bottom w:val="nil"/>
            <w:right w:val="nil"/>
          </w:tcBorders>
          <w:vAlign w:val="bottom"/>
        </w:tcPr>
        <w:p>
          <w:pPr>
            <w:pStyle w:val="Fuzeile"/>
            <w:widowControl/>
            <w:jc w:val="right"/>
            <w:rPr>
              <w:szCs w:val="16"/>
            </w:rPr>
          </w:pPr>
          <w:r>
            <w:rPr>
              <w:rFonts w:eastAsia="Calibri"/>
              <w:kern w:val="0"/>
              <w:szCs w:val="16"/>
              <w:lang w:bidi="ar-SA"/>
            </w:rPr>
          </w:r>
        </w:p>
        <w:p>
          <w:pPr>
            <w:pStyle w:val="Fuzeile"/>
            <w:widowControl/>
            <w:jc w:val="right"/>
            <w:rPr>
              <w:szCs w:val="16"/>
            </w:rPr>
          </w:pPr>
          <w:r>
            <w:rPr>
              <w:rFonts w:eastAsia="Calibri"/>
              <w:kern w:val="0"/>
              <w:szCs w:val="16"/>
              <w:lang w:bidi="ar-SA"/>
            </w:rPr>
          </w:r>
        </w:p>
      </w:tc>
    </w:tr>
  </w:tbl>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0"/>
        </w:tabs>
        <w:ind w:left="397" w:hanging="397"/>
      </w:pPr>
    </w:lvl>
    <w:lvl w:ilvl="1">
      <w:start w:val="1"/>
      <w:pStyle w:val="Berschrift2"/>
      <w:numFmt w:val="decimal"/>
      <w:lvlText w:val="%1.%2"/>
      <w:lvlJc w:val="left"/>
      <w:pPr>
        <w:tabs>
          <w:tab w:val="num" w:pos="0"/>
        </w:tabs>
        <w:ind w:left="567" w:hanging="567"/>
      </w:pPr>
    </w:lvl>
    <w:lvl w:ilvl="2">
      <w:start w:val="1"/>
      <w:pStyle w:val="Berschrift3"/>
      <w:numFmt w:val="decimal"/>
      <w:lvlText w:val="%1.%2.%3"/>
      <w:lvlJc w:val="left"/>
      <w:pPr>
        <w:tabs>
          <w:tab w:val="num" w:pos="0"/>
        </w:tabs>
        <w:ind w:left="737" w:hanging="737"/>
      </w:pPr>
    </w:lvl>
    <w:lvl w:ilvl="3">
      <w:start w:val="1"/>
      <w:pStyle w:val="Berschrift4"/>
      <w:numFmt w:val="decimal"/>
      <w:lvlText w:val="%1.%2.%3.%4"/>
      <w:lvlJc w:val="left"/>
      <w:pPr>
        <w:tabs>
          <w:tab w:val="num" w:pos="0"/>
        </w:tabs>
        <w:ind w:left="1021" w:hanging="1021"/>
      </w:pPr>
    </w:lvl>
    <w:lvl w:ilvl="4">
      <w:start w:val="1"/>
      <w:pStyle w:val="Berschrift5"/>
      <w:numFmt w:val="decimal"/>
      <w:lvlText w:val="%1.%2.%3.%4.%5"/>
      <w:lvlJc w:val="left"/>
      <w:pPr>
        <w:tabs>
          <w:tab w:val="num" w:pos="0"/>
        </w:tabs>
        <w:ind w:left="1021" w:hanging="1021"/>
      </w:pPr>
    </w:lvl>
    <w:lvl w:ilvl="5">
      <w:start w:val="1"/>
      <w:pStyle w:val="Berschrift6"/>
      <w:numFmt w:val="decimal"/>
      <w:lvlText w:val="%1.%2.%3.%4.%5.%6"/>
      <w:lvlJc w:val="left"/>
      <w:pPr>
        <w:tabs>
          <w:tab w:val="num" w:pos="0"/>
        </w:tabs>
        <w:ind w:left="1191" w:hanging="1191"/>
      </w:pPr>
    </w:lvl>
    <w:lvl w:ilvl="6">
      <w:start w:val="1"/>
      <w:pStyle w:val="Berschrift7"/>
      <w:numFmt w:val="decimal"/>
      <w:lvlText w:val="%1.%2.%3.%4.%5.%6.%7"/>
      <w:lvlJc w:val="left"/>
      <w:pPr>
        <w:tabs>
          <w:tab w:val="num" w:pos="0"/>
        </w:tabs>
        <w:ind w:left="1304" w:hanging="1304"/>
      </w:pPr>
    </w:lvl>
    <w:lvl w:ilvl="7">
      <w:start w:val="1"/>
      <w:pStyle w:val="Berschrift8"/>
      <w:numFmt w:val="decimal"/>
      <w:lvlText w:val="%1.%2.%3.%4.%5.%6.%7.%8"/>
      <w:lvlJc w:val="left"/>
      <w:pPr>
        <w:tabs>
          <w:tab w:val="num" w:pos="2835"/>
        </w:tabs>
        <w:ind w:left="1474" w:hanging="1474"/>
      </w:pPr>
    </w:lvl>
    <w:lvl w:ilvl="8">
      <w:start w:val="1"/>
      <w:pStyle w:val="Berschrift9"/>
      <w:numFmt w:val="decimal"/>
      <w:lvlText w:val="%1.%2.%3.%4.%5.%6.%7.%8.%9"/>
      <w:lvlJc w:val="left"/>
      <w:pPr>
        <w:tabs>
          <w:tab w:val="num" w:pos="0"/>
        </w:tabs>
        <w:ind w:left="1588" w:hanging="1588"/>
      </w:pPr>
    </w:lvl>
  </w:abstractNum>
  <w:abstractNum w:abstractNumId="2">
    <w:lvl w:ilvl="0">
      <w:start w:val="1"/>
      <w:numFmt w:val="bullet"/>
      <w:lvlText w:val=""/>
      <w:lvlJc w:val="left"/>
      <w:pPr>
        <w:tabs>
          <w:tab w:val="num" w:pos="0"/>
        </w:tabs>
        <w:ind w:left="0" w:hanging="992"/>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0" w:hanging="992"/>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284" w:hanging="284"/>
      </w:pPr>
      <w:rPr>
        <w:rFonts w:ascii="Wingdings" w:hAnsi="Wingdings" w:cs="Wingdings" w:hint="default"/>
      </w:rPr>
    </w:lvl>
    <w:lvl w:ilvl="1">
      <w:start w:val="1"/>
      <w:numFmt w:val="bullet"/>
      <w:lvlText w:val="—"/>
      <w:lvlJc w:val="left"/>
      <w:pPr>
        <w:tabs>
          <w:tab w:val="num" w:pos="0"/>
        </w:tabs>
        <w:ind w:left="567" w:hanging="283"/>
      </w:pPr>
      <w:rPr>
        <w:rFonts w:ascii="Calibri" w:hAnsi="Calibri" w:cs="Calibri" w:hint="default"/>
      </w:rPr>
    </w:lvl>
    <w:lvl w:ilvl="2">
      <w:start w:val="1"/>
      <w:numFmt w:val="bullet"/>
      <w:lvlText w:val=""/>
      <w:lvlJc w:val="left"/>
      <w:pPr>
        <w:tabs>
          <w:tab w:val="num" w:pos="0"/>
        </w:tabs>
        <w:ind w:left="851" w:hanging="284"/>
      </w:pPr>
      <w:rPr>
        <w:rFonts w:ascii="Wingdings" w:hAnsi="Wingdings" w:cs="Wingdings" w:hint="default"/>
      </w:rPr>
    </w:lvl>
    <w:lvl w:ilvl="3">
      <w:start w:val="1"/>
      <w:numFmt w:val="bullet"/>
      <w:lvlText w:val="—"/>
      <w:lvlJc w:val="left"/>
      <w:pPr>
        <w:tabs>
          <w:tab w:val="num" w:pos="0"/>
        </w:tabs>
        <w:ind w:left="1134" w:hanging="283"/>
      </w:pPr>
      <w:rPr>
        <w:rFonts w:ascii="Calibri (Body)" w:hAnsi="Calibri (Body)" w:cs="Calibri (Body)" w:hint="default"/>
      </w:rPr>
    </w:lvl>
    <w:lvl w:ilvl="4">
      <w:start w:val="1"/>
      <w:numFmt w:val="bullet"/>
      <w:lvlText w:val=""/>
      <w:lvlJc w:val="left"/>
      <w:pPr>
        <w:tabs>
          <w:tab w:val="num" w:pos="0"/>
        </w:tabs>
        <w:ind w:left="1418" w:hanging="284"/>
      </w:pPr>
      <w:rPr>
        <w:rFonts w:ascii="Wingdings" w:hAnsi="Wingdings" w:cs="Wingdings" w:hint="default"/>
      </w:rPr>
    </w:lvl>
    <w:lvl w:ilvl="5">
      <w:start w:val="1"/>
      <w:numFmt w:val="bullet"/>
      <w:lvlText w:val="—"/>
      <w:lvlJc w:val="left"/>
      <w:pPr>
        <w:tabs>
          <w:tab w:val="num" w:pos="0"/>
        </w:tabs>
        <w:ind w:left="1701" w:hanging="283"/>
      </w:pPr>
      <w:rPr>
        <w:rFonts w:ascii="Calibri" w:hAnsi="Calibri" w:cs="Calibri" w:hint="default"/>
      </w:rPr>
    </w:lvl>
    <w:lvl w:ilvl="6">
      <w:start w:val="1"/>
      <w:numFmt w:val="bullet"/>
      <w:lvlText w:val=""/>
      <w:lvlJc w:val="left"/>
      <w:pPr>
        <w:tabs>
          <w:tab w:val="num" w:pos="0"/>
        </w:tabs>
        <w:ind w:left="1985" w:hanging="284"/>
      </w:pPr>
      <w:rPr>
        <w:rFonts w:ascii="Wingdings" w:hAnsi="Wingdings" w:cs="Wingdings" w:hint="default"/>
      </w:rPr>
    </w:lvl>
    <w:lvl w:ilvl="7">
      <w:start w:val="1"/>
      <w:numFmt w:val="bullet"/>
      <w:lvlText w:val="—"/>
      <w:lvlJc w:val="left"/>
      <w:pPr>
        <w:tabs>
          <w:tab w:val="num" w:pos="0"/>
        </w:tabs>
        <w:ind w:left="2268" w:hanging="283"/>
      </w:pPr>
      <w:rPr>
        <w:rFonts w:ascii="Calibri" w:hAnsi="Calibri" w:cs="Calibri" w:hint="default"/>
      </w:rPr>
    </w:lvl>
    <w:lvl w:ilvl="8">
      <w:start w:val="1"/>
      <w:numFmt w:val="bullet"/>
      <w:lvlText w:val=""/>
      <w:lvlJc w:val="left"/>
      <w:pPr>
        <w:tabs>
          <w:tab w:val="num" w:pos="0"/>
        </w:tabs>
        <w:ind w:left="2552" w:hanging="284"/>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1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SG"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CH"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uiPriority="1"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uiPriority="22" w:semiHidden="1"/>
    <w:lsdException w:name="Emphasis" w:uiPriority="20"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68fc"/>
    <w:pPr>
      <w:widowControl/>
      <w:bidi w:val="0"/>
      <w:spacing w:before="200" w:after="200"/>
      <w:jc w:val="left"/>
    </w:pPr>
    <w:rPr>
      <w:rFonts w:ascii="Calibri" w:hAnsi="Calibri" w:eastAsia="Calibri" w:cs="" w:asciiTheme="minorHAnsi" w:cstheme="minorBidi" w:eastAsiaTheme="minorHAnsi" w:hAnsiTheme="minorHAnsi"/>
      <w:color w:val="auto"/>
      <w:kern w:val="0"/>
      <w:sz w:val="20"/>
      <w:szCs w:val="24"/>
      <w:lang w:val="en-US" w:eastAsia="zh-TW" w:bidi="ar-SA"/>
    </w:rPr>
  </w:style>
  <w:style w:type="paragraph" w:styleId="Berschrift1">
    <w:name w:val="Heading 1"/>
    <w:next w:val="Normal"/>
    <w:link w:val="berschrift1Zchn"/>
    <w:uiPriority w:val="9"/>
    <w:qFormat/>
    <w:rsid w:val="00f32e7e"/>
    <w:pPr>
      <w:keepNext w:val="true"/>
      <w:keepLines/>
      <w:widowControl/>
      <w:numPr>
        <w:ilvl w:val="0"/>
        <w:numId w:val="1"/>
      </w:numPr>
      <w:pBdr>
        <w:bottom w:val="single" w:sz="8" w:space="1" w:color="83BC00"/>
      </w:pBdr>
      <w:bidi w:val="0"/>
      <w:spacing w:before="480" w:after="200"/>
      <w:jc w:val="left"/>
      <w:outlineLvl w:val="0"/>
    </w:pPr>
    <w:rPr>
      <w:rFonts w:ascii="Calibri" w:hAnsi="Calibri" w:eastAsia="" w:cs="Times New Roman (Headings CS)" w:asciiTheme="majorHAnsi" w:eastAsiaTheme="majorEastAsia" w:hAnsiTheme="majorHAnsi"/>
      <w:b/>
      <w:color w:val="0060BF" w:themeColor="text2"/>
      <w:kern w:val="0"/>
      <w:sz w:val="32"/>
      <w:szCs w:val="32"/>
      <w:lang w:val="en-US" w:eastAsia="zh-TW" w:bidi="ar-SA"/>
    </w:rPr>
  </w:style>
  <w:style w:type="paragraph" w:styleId="Berschrift2">
    <w:name w:val="Heading 2"/>
    <w:basedOn w:val="Berschrift1"/>
    <w:next w:val="Normal"/>
    <w:link w:val="berschrift2Zchn"/>
    <w:uiPriority w:val="9"/>
    <w:qFormat/>
    <w:rsid w:val="00f32e7e"/>
    <w:pPr>
      <w:numPr>
        <w:ilvl w:val="1"/>
        <w:numId w:val="1"/>
      </w:numPr>
      <w:pBdr>
        <w:bottom w:val="nil"/>
      </w:pBdr>
      <w:outlineLvl w:val="1"/>
    </w:pPr>
    <w:rPr>
      <w:rFonts w:cs="" w:cstheme="majorBidi"/>
      <w:szCs w:val="26"/>
    </w:rPr>
  </w:style>
  <w:style w:type="paragraph" w:styleId="Berschrift3">
    <w:name w:val="Heading 3"/>
    <w:basedOn w:val="Berschrift2"/>
    <w:next w:val="Normal"/>
    <w:link w:val="berschrift3Zchn"/>
    <w:uiPriority w:val="9"/>
    <w:qFormat/>
    <w:rsid w:val="00f32e7e"/>
    <w:pPr>
      <w:numPr>
        <w:ilvl w:val="2"/>
        <w:numId w:val="1"/>
      </w:numPr>
      <w:spacing w:before="420" w:after="200"/>
      <w:outlineLvl w:val="2"/>
    </w:pPr>
    <w:rPr>
      <w:sz w:val="28"/>
    </w:rPr>
  </w:style>
  <w:style w:type="paragraph" w:styleId="Berschrift4">
    <w:name w:val="Heading 4"/>
    <w:basedOn w:val="Berschrift3"/>
    <w:next w:val="Normal"/>
    <w:link w:val="berschrift4Zchn"/>
    <w:uiPriority w:val="9"/>
    <w:qFormat/>
    <w:rsid w:val="00f32e7e"/>
    <w:pPr>
      <w:numPr>
        <w:ilvl w:val="3"/>
        <w:numId w:val="1"/>
      </w:numPr>
      <w:outlineLvl w:val="3"/>
    </w:pPr>
    <w:rPr>
      <w:iCs/>
    </w:rPr>
  </w:style>
  <w:style w:type="paragraph" w:styleId="Berschrift5">
    <w:name w:val="Heading 5"/>
    <w:basedOn w:val="Normal"/>
    <w:next w:val="Normal"/>
    <w:link w:val="berschrift5Zchn"/>
    <w:uiPriority w:val="9"/>
    <w:qFormat/>
    <w:rsid w:val="00f32e7e"/>
    <w:pPr>
      <w:keepNext w:val="true"/>
      <w:keepLines/>
      <w:numPr>
        <w:ilvl w:val="4"/>
        <w:numId w:val="1"/>
      </w:numPr>
      <w:spacing w:before="300" w:after="200"/>
      <w:outlineLvl w:val="4"/>
    </w:pPr>
    <w:rPr>
      <w:rFonts w:ascii="Calibri" w:hAnsi="Calibri" w:eastAsia="" w:cs="" w:asciiTheme="majorHAnsi" w:cstheme="majorBidi" w:eastAsiaTheme="majorEastAsia" w:hAnsiTheme="majorHAnsi"/>
      <w:b/>
      <w:color w:val="0060BF" w:themeColor="text2"/>
    </w:rPr>
  </w:style>
  <w:style w:type="paragraph" w:styleId="Berschrift6">
    <w:name w:val="Heading 6"/>
    <w:basedOn w:val="Normal"/>
    <w:next w:val="Normal"/>
    <w:link w:val="berschrift6Zchn"/>
    <w:uiPriority w:val="9"/>
    <w:qFormat/>
    <w:rsid w:val="00f32e7e"/>
    <w:pPr>
      <w:keepNext w:val="true"/>
      <w:keepLines/>
      <w:numPr>
        <w:ilvl w:val="5"/>
        <w:numId w:val="1"/>
      </w:numPr>
      <w:spacing w:before="300" w:after="200"/>
      <w:outlineLvl w:val="5"/>
    </w:pPr>
    <w:rPr>
      <w:rFonts w:ascii="Calibri" w:hAnsi="Calibri" w:eastAsia="" w:cs="" w:asciiTheme="majorHAnsi" w:cstheme="majorBidi" w:eastAsiaTheme="majorEastAsia" w:hAnsiTheme="majorHAnsi"/>
      <w:b/>
      <w:color w:val="0060BF" w:themeColor="text2"/>
    </w:rPr>
  </w:style>
  <w:style w:type="paragraph" w:styleId="Berschrift7">
    <w:name w:val="Heading 7"/>
    <w:basedOn w:val="Normal"/>
    <w:next w:val="Normal"/>
    <w:link w:val="berschrift7Zchn"/>
    <w:uiPriority w:val="9"/>
    <w:qFormat/>
    <w:rsid w:val="00f32e7e"/>
    <w:pPr>
      <w:keepNext w:val="true"/>
      <w:keepLines/>
      <w:numPr>
        <w:ilvl w:val="6"/>
        <w:numId w:val="1"/>
      </w:numPr>
      <w:spacing w:before="300" w:after="200"/>
      <w:outlineLvl w:val="6"/>
    </w:pPr>
    <w:rPr>
      <w:rFonts w:ascii="Calibri" w:hAnsi="Calibri" w:eastAsia="" w:cs="" w:asciiTheme="majorHAnsi" w:cstheme="majorBidi" w:eastAsiaTheme="majorEastAsia" w:hAnsiTheme="majorHAnsi"/>
      <w:b/>
      <w:iCs/>
      <w:color w:val="0060BF" w:themeColor="text2"/>
    </w:rPr>
  </w:style>
  <w:style w:type="paragraph" w:styleId="Berschrift8">
    <w:name w:val="Heading 8"/>
    <w:basedOn w:val="Normal"/>
    <w:next w:val="Normal"/>
    <w:link w:val="berschrift8Zchn"/>
    <w:uiPriority w:val="9"/>
    <w:qFormat/>
    <w:rsid w:val="00f32e7e"/>
    <w:pPr>
      <w:keepNext w:val="true"/>
      <w:keepLines/>
      <w:numPr>
        <w:ilvl w:val="7"/>
        <w:numId w:val="1"/>
      </w:numPr>
      <w:spacing w:before="300" w:after="200"/>
      <w:outlineLvl w:val="7"/>
    </w:pPr>
    <w:rPr>
      <w:rFonts w:ascii="Calibri" w:hAnsi="Calibri" w:eastAsia="" w:cs="" w:asciiTheme="majorHAnsi" w:cstheme="majorBidi" w:eastAsiaTheme="majorEastAsia" w:hAnsiTheme="majorHAnsi"/>
      <w:b/>
      <w:color w:val="0060BF" w:themeColor="text2"/>
      <w:szCs w:val="21"/>
    </w:rPr>
  </w:style>
  <w:style w:type="paragraph" w:styleId="Berschrift9">
    <w:name w:val="Heading 9"/>
    <w:basedOn w:val="Normal"/>
    <w:next w:val="Normal"/>
    <w:link w:val="berschrift9Zchn"/>
    <w:uiPriority w:val="9"/>
    <w:qFormat/>
    <w:rsid w:val="00f32e7e"/>
    <w:pPr>
      <w:keepNext w:val="true"/>
      <w:keepLines/>
      <w:numPr>
        <w:ilvl w:val="8"/>
        <w:numId w:val="1"/>
      </w:numPr>
      <w:spacing w:before="300" w:after="200"/>
      <w:outlineLvl w:val="8"/>
    </w:pPr>
    <w:rPr>
      <w:rFonts w:ascii="Calibri" w:hAnsi="Calibri" w:eastAsia="" w:cs="" w:asciiTheme="majorHAnsi" w:cstheme="majorBidi" w:eastAsiaTheme="majorEastAsia" w:hAnsiTheme="majorHAnsi"/>
      <w:b/>
      <w:iCs/>
      <w:color w:val="0060BF" w:themeColor="text2"/>
      <w:szCs w:val="2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f32e7e"/>
    <w:rPr>
      <w:rFonts w:ascii="Calibri" w:hAnsi="Calibri" w:eastAsia="" w:cs="Times New Roman (Headings CS)" w:asciiTheme="majorHAnsi" w:eastAsiaTheme="majorEastAsia" w:hAnsiTheme="majorHAnsi"/>
      <w:b/>
      <w:color w:val="0060BF" w:themeColor="text2"/>
      <w:sz w:val="32"/>
      <w:szCs w:val="32"/>
      <w:lang w:val="en-US" w:eastAsia="zh-TW"/>
    </w:rPr>
  </w:style>
  <w:style w:type="character" w:styleId="Berschrift2Zchn" w:customStyle="1">
    <w:name w:val="Überschrift 2 Zchn"/>
    <w:basedOn w:val="DefaultParagraphFont"/>
    <w:link w:val="berschrift2"/>
    <w:uiPriority w:val="9"/>
    <w:qFormat/>
    <w:rsid w:val="00f32e7e"/>
    <w:rPr>
      <w:rFonts w:ascii="Calibri" w:hAnsi="Calibri" w:eastAsia="" w:cs="" w:asciiTheme="majorHAnsi" w:cstheme="majorBidi" w:eastAsiaTheme="majorEastAsia" w:hAnsiTheme="majorHAnsi"/>
      <w:b/>
      <w:color w:val="0060BF" w:themeColor="text2"/>
      <w:sz w:val="32"/>
      <w:szCs w:val="26"/>
      <w:lang w:val="en-US" w:eastAsia="zh-TW"/>
    </w:rPr>
  </w:style>
  <w:style w:type="character" w:styleId="Berschrift3Zchn" w:customStyle="1">
    <w:name w:val="Überschrift 3 Zchn"/>
    <w:basedOn w:val="DefaultParagraphFont"/>
    <w:link w:val="berschrift3"/>
    <w:uiPriority w:val="9"/>
    <w:qFormat/>
    <w:rsid w:val="00f32e7e"/>
    <w:rPr>
      <w:rFonts w:ascii="Calibri" w:hAnsi="Calibri" w:eastAsia="" w:cs="" w:asciiTheme="majorHAnsi" w:cstheme="majorBidi" w:eastAsiaTheme="majorEastAsia" w:hAnsiTheme="majorHAnsi"/>
      <w:b/>
      <w:color w:val="0060BF" w:themeColor="text2"/>
      <w:sz w:val="28"/>
      <w:szCs w:val="26"/>
      <w:lang w:val="en-US" w:eastAsia="zh-TW"/>
    </w:rPr>
  </w:style>
  <w:style w:type="character" w:styleId="Berschrift4Zchn" w:customStyle="1">
    <w:name w:val="Überschrift 4 Zchn"/>
    <w:basedOn w:val="DefaultParagraphFont"/>
    <w:link w:val="berschrift4"/>
    <w:uiPriority w:val="9"/>
    <w:qFormat/>
    <w:rsid w:val="00f32e7e"/>
    <w:rPr>
      <w:rFonts w:ascii="Calibri" w:hAnsi="Calibri" w:eastAsia="" w:cs="" w:asciiTheme="majorHAnsi" w:cstheme="majorBidi" w:eastAsiaTheme="majorEastAsia" w:hAnsiTheme="majorHAnsi"/>
      <w:b/>
      <w:iCs/>
      <w:color w:val="0060BF" w:themeColor="text2"/>
      <w:sz w:val="28"/>
      <w:szCs w:val="26"/>
      <w:lang w:val="en-US" w:eastAsia="zh-TW"/>
    </w:rPr>
  </w:style>
  <w:style w:type="character" w:styleId="Berschrift5Zchn" w:customStyle="1">
    <w:name w:val="Überschrift 5 Zchn"/>
    <w:basedOn w:val="DefaultParagraphFont"/>
    <w:link w:val="berschrift5"/>
    <w:uiPriority w:val="9"/>
    <w:qFormat/>
    <w:rsid w:val="00f32e7e"/>
    <w:rPr>
      <w:rFonts w:ascii="Calibri" w:hAnsi="Calibri" w:eastAsia="" w:cs="" w:asciiTheme="majorHAnsi" w:cstheme="majorBidi" w:eastAsiaTheme="majorEastAsia" w:hAnsiTheme="majorHAnsi"/>
      <w:b/>
      <w:color w:val="0060BF" w:themeColor="text2"/>
      <w:sz w:val="20"/>
      <w:lang w:val="en-US" w:eastAsia="zh-TW"/>
    </w:rPr>
  </w:style>
  <w:style w:type="character" w:styleId="Berschrift6Zchn" w:customStyle="1">
    <w:name w:val="Überschrift 6 Zchn"/>
    <w:basedOn w:val="DefaultParagraphFont"/>
    <w:link w:val="berschrift6"/>
    <w:uiPriority w:val="9"/>
    <w:qFormat/>
    <w:rsid w:val="00f32e7e"/>
    <w:rPr>
      <w:rFonts w:ascii="Calibri" w:hAnsi="Calibri" w:eastAsia="" w:cs="" w:asciiTheme="majorHAnsi" w:cstheme="majorBidi" w:eastAsiaTheme="majorEastAsia" w:hAnsiTheme="majorHAnsi"/>
      <w:b/>
      <w:color w:val="0060BF" w:themeColor="text2"/>
      <w:sz w:val="20"/>
      <w:lang w:val="en-US" w:eastAsia="zh-TW"/>
    </w:rPr>
  </w:style>
  <w:style w:type="character" w:styleId="Berschrift7Zchn" w:customStyle="1">
    <w:name w:val="Überschrift 7 Zchn"/>
    <w:basedOn w:val="DefaultParagraphFont"/>
    <w:link w:val="berschrift7"/>
    <w:uiPriority w:val="9"/>
    <w:qFormat/>
    <w:rsid w:val="00f32e7e"/>
    <w:rPr>
      <w:rFonts w:ascii="Calibri" w:hAnsi="Calibri" w:eastAsia="" w:cs="" w:asciiTheme="majorHAnsi" w:cstheme="majorBidi" w:eastAsiaTheme="majorEastAsia" w:hAnsiTheme="majorHAnsi"/>
      <w:b/>
      <w:iCs/>
      <w:color w:val="0060BF" w:themeColor="text2"/>
      <w:sz w:val="20"/>
      <w:lang w:val="en-US" w:eastAsia="zh-TW"/>
    </w:rPr>
  </w:style>
  <w:style w:type="character" w:styleId="Berschrift8Zchn" w:customStyle="1">
    <w:name w:val="Überschrift 8 Zchn"/>
    <w:basedOn w:val="DefaultParagraphFont"/>
    <w:link w:val="berschrift8"/>
    <w:uiPriority w:val="9"/>
    <w:qFormat/>
    <w:rsid w:val="00f32e7e"/>
    <w:rPr>
      <w:rFonts w:ascii="Calibri" w:hAnsi="Calibri" w:eastAsia="" w:cs="" w:asciiTheme="majorHAnsi" w:cstheme="majorBidi" w:eastAsiaTheme="majorEastAsia" w:hAnsiTheme="majorHAnsi"/>
      <w:b/>
      <w:color w:val="0060BF" w:themeColor="text2"/>
      <w:sz w:val="20"/>
      <w:szCs w:val="21"/>
      <w:lang w:val="en-US" w:eastAsia="zh-TW"/>
    </w:rPr>
  </w:style>
  <w:style w:type="character" w:styleId="Berschrift9Zchn" w:customStyle="1">
    <w:name w:val="Überschrift 9 Zchn"/>
    <w:basedOn w:val="DefaultParagraphFont"/>
    <w:link w:val="berschrift9"/>
    <w:uiPriority w:val="9"/>
    <w:qFormat/>
    <w:rsid w:val="00f32e7e"/>
    <w:rPr>
      <w:rFonts w:ascii="Calibri" w:hAnsi="Calibri" w:eastAsia="" w:cs="" w:asciiTheme="majorHAnsi" w:cstheme="majorBidi" w:eastAsiaTheme="majorEastAsia" w:hAnsiTheme="majorHAnsi"/>
      <w:b/>
      <w:iCs/>
      <w:color w:val="0060BF" w:themeColor="text2"/>
      <w:sz w:val="20"/>
      <w:szCs w:val="21"/>
      <w:lang w:val="en-US" w:eastAsia="zh-TW"/>
    </w:rPr>
  </w:style>
  <w:style w:type="character" w:styleId="TitelZchn" w:customStyle="1">
    <w:name w:val="Titel Zchn"/>
    <w:basedOn w:val="DefaultParagraphFont"/>
    <w:link w:val="Titel"/>
    <w:uiPriority w:val="10"/>
    <w:qFormat/>
    <w:rsid w:val="00f32e7e"/>
    <w:rPr>
      <w:rFonts w:ascii="Calibri" w:hAnsi="Calibri" w:eastAsia="" w:cs="Times New Roman (Headings CS)" w:asciiTheme="majorHAnsi" w:eastAsiaTheme="majorEastAsia" w:hAnsiTheme="majorHAnsi"/>
      <w:color w:val="0060BF" w:themeColor="text2"/>
      <w:spacing w:val="5"/>
      <w:kern w:val="2"/>
      <w:sz w:val="52"/>
      <w:szCs w:val="56"/>
      <w:lang w:val="en-US" w:eastAsia="zh-TW"/>
    </w:rPr>
  </w:style>
  <w:style w:type="character" w:styleId="UntertitelZchn" w:customStyle="1">
    <w:name w:val="Untertitel Zchn"/>
    <w:basedOn w:val="DefaultParagraphFont"/>
    <w:link w:val="Untertitel"/>
    <w:uiPriority w:val="11"/>
    <w:qFormat/>
    <w:rsid w:val="00f32e7e"/>
    <w:rPr>
      <w:rFonts w:eastAsia="" w:cs="Times New Roman (Body CS)" w:eastAsiaTheme="minorEastAsia"/>
      <w:color w:val="83BC00" w:themeColor="accent1"/>
      <w:spacing w:val="15"/>
      <w:kern w:val="2"/>
      <w:sz w:val="44"/>
      <w:szCs w:val="22"/>
      <w:lang w:val="en-US" w:eastAsia="zh-TW"/>
    </w:rPr>
  </w:style>
  <w:style w:type="character" w:styleId="KopfzeileZchn" w:customStyle="1">
    <w:name w:val="Kopfzeile Zchn"/>
    <w:basedOn w:val="DefaultParagraphFont"/>
    <w:link w:val="Kopfzeile"/>
    <w:uiPriority w:val="99"/>
    <w:qFormat/>
    <w:rsid w:val="00f32e7e"/>
    <w:rPr>
      <w:color w:val="636B67" w:themeColor="accent4"/>
      <w:sz w:val="20"/>
      <w:lang w:val="en-US" w:eastAsia="zh-TW"/>
    </w:rPr>
  </w:style>
  <w:style w:type="character" w:styleId="FuzeileZchn" w:customStyle="1">
    <w:name w:val="Fußzeile Zchn"/>
    <w:basedOn w:val="DefaultParagraphFont"/>
    <w:link w:val="Fuzeile"/>
    <w:uiPriority w:val="99"/>
    <w:qFormat/>
    <w:rsid w:val="00f32e7e"/>
    <w:rPr>
      <w:rFonts w:cs="Times New Roman (Body CS)"/>
      <w:color w:val="636B67" w:themeColor="accent4"/>
      <w:sz w:val="16"/>
      <w:lang w:val="en-US" w:eastAsia="zh-TW"/>
    </w:rPr>
  </w:style>
  <w:style w:type="character" w:styleId="Pagenumber">
    <w:name w:val="page number"/>
    <w:basedOn w:val="DefaultParagraphFont"/>
    <w:uiPriority w:val="99"/>
    <w:qFormat/>
    <w:rsid w:val="00f32e7e"/>
    <w:rPr>
      <w:color w:val="636B67" w:themeColor="accent4"/>
      <w:sz w:val="18"/>
    </w:rPr>
  </w:style>
  <w:style w:type="character" w:styleId="SprechblasentextZchn" w:customStyle="1">
    <w:name w:val="Sprechblasentext Zchn"/>
    <w:basedOn w:val="DefaultParagraphFont"/>
    <w:link w:val="Sprechblasentext"/>
    <w:uiPriority w:val="99"/>
    <w:semiHidden/>
    <w:qFormat/>
    <w:rsid w:val="00f32e7e"/>
    <w:rPr>
      <w:rFonts w:cs="Times New Roman"/>
      <w:sz w:val="18"/>
      <w:szCs w:val="18"/>
      <w:lang w:val="en-US" w:eastAsia="zh-TW"/>
    </w:rPr>
  </w:style>
  <w:style w:type="character" w:styleId="KommentartextZchn" w:customStyle="1">
    <w:name w:val="Kommentartext Zchn"/>
    <w:basedOn w:val="DefaultParagraphFont"/>
    <w:link w:val="Kommentartext"/>
    <w:qFormat/>
    <w:rsid w:val="00920605"/>
    <w:rPr>
      <w:rFonts w:ascii="Times New Roman" w:hAnsi="Times New Roman" w:eastAsia="Times New Roman" w:cs="Times New Roman"/>
      <w:lang w:val="de-DE" w:eastAsia="de-DE"/>
    </w:rPr>
  </w:style>
  <w:style w:type="character" w:styleId="Appleconvertedspace" w:customStyle="1">
    <w:name w:val="apple-converted-space"/>
    <w:basedOn w:val="DefaultParagraphFont"/>
    <w:qFormat/>
    <w:rsid w:val="0040450f"/>
    <w:rPr/>
  </w:style>
  <w:style w:type="character" w:styleId="Internetverknpfung">
    <w:name w:val="Internetverknüpfung"/>
    <w:basedOn w:val="DefaultParagraphFont"/>
    <w:uiPriority w:val="99"/>
    <w:semiHidden/>
    <w:unhideWhenUsed/>
    <w:rsid w:val="0040450f"/>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Bullet">
    <w:name w:val="List Bullet"/>
    <w:uiPriority w:val="12"/>
    <w:qFormat/>
    <w:rsid w:val="00f32e7e"/>
    <w:pPr>
      <w:keepLines/>
      <w:widowControl/>
      <w:bidi w:val="0"/>
      <w:spacing w:before="60" w:after="60"/>
      <w:jc w:val="left"/>
      <w:outlineLvl w:val="0"/>
    </w:pPr>
    <w:rPr>
      <w:rFonts w:ascii="Calibri" w:hAnsi="Calibri" w:eastAsia="Calibri" w:cs="" w:asciiTheme="minorHAnsi" w:cstheme="minorBidi" w:eastAsiaTheme="minorHAnsi" w:hAnsiTheme="minorHAnsi"/>
      <w:color w:val="auto"/>
      <w:kern w:val="0"/>
      <w:sz w:val="20"/>
      <w:szCs w:val="24"/>
      <w:lang w:val="en-US" w:eastAsia="zh-TW" w:bidi="ar-SA"/>
    </w:rPr>
  </w:style>
  <w:style w:type="paragraph" w:styleId="ListBullet2">
    <w:name w:val="List Bullet 2"/>
    <w:basedOn w:val="ListBullet"/>
    <w:uiPriority w:val="12"/>
    <w:qFormat/>
    <w:rsid w:val="00f32e7e"/>
    <w:pPr>
      <w:outlineLvl w:val="1"/>
    </w:pPr>
    <w:rPr/>
  </w:style>
  <w:style w:type="paragraph" w:styleId="ListBullet3">
    <w:name w:val="List Bullet 3"/>
    <w:basedOn w:val="ListBullet2"/>
    <w:uiPriority w:val="12"/>
    <w:qFormat/>
    <w:rsid w:val="00f32e7e"/>
    <w:pPr>
      <w:outlineLvl w:val="2"/>
    </w:pPr>
    <w:rPr/>
  </w:style>
  <w:style w:type="paragraph" w:styleId="ListBullet4">
    <w:name w:val="List Bullet 4"/>
    <w:basedOn w:val="Normal"/>
    <w:uiPriority w:val="12"/>
    <w:qFormat/>
    <w:rsid w:val="00f32e7e"/>
    <w:pPr>
      <w:keepLines/>
      <w:numPr>
        <w:ilvl w:val="0"/>
        <w:numId w:val="4"/>
      </w:numPr>
      <w:spacing w:before="60" w:after="60"/>
    </w:pPr>
    <w:rPr/>
  </w:style>
  <w:style w:type="paragraph" w:styleId="ListBullet5">
    <w:name w:val="List Bullet 5"/>
    <w:basedOn w:val="ListBullet4"/>
    <w:uiPriority w:val="12"/>
    <w:qFormat/>
    <w:rsid w:val="00f32e7e"/>
    <w:pPr>
      <w:outlineLvl w:val="4"/>
    </w:pPr>
    <w:rPr/>
  </w:style>
  <w:style w:type="paragraph" w:styleId="ListNumber">
    <w:name w:val="List Number"/>
    <w:uiPriority w:val="13"/>
    <w:qFormat/>
    <w:rsid w:val="00f32e7e"/>
    <w:pPr>
      <w:keepLines/>
      <w:widowControl/>
      <w:bidi w:val="0"/>
      <w:spacing w:before="60" w:after="60"/>
      <w:jc w:val="left"/>
      <w:outlineLvl w:val="0"/>
    </w:pPr>
    <w:rPr>
      <w:rFonts w:ascii="Calibri" w:hAnsi="Calibri" w:eastAsia="Calibri" w:cs="" w:asciiTheme="minorHAnsi" w:cstheme="minorBidi" w:eastAsiaTheme="minorHAnsi" w:hAnsiTheme="minorHAnsi"/>
      <w:color w:val="auto"/>
      <w:kern w:val="0"/>
      <w:sz w:val="20"/>
      <w:szCs w:val="24"/>
      <w:lang w:val="en-US" w:eastAsia="zh-TW" w:bidi="ar-SA"/>
    </w:rPr>
  </w:style>
  <w:style w:type="paragraph" w:styleId="ListNumber2">
    <w:name w:val="List Number 2"/>
    <w:basedOn w:val="ListNumber"/>
    <w:uiPriority w:val="13"/>
    <w:qFormat/>
    <w:rsid w:val="00f32e7e"/>
    <w:pPr>
      <w:outlineLvl w:val="1"/>
    </w:pPr>
    <w:rPr/>
  </w:style>
  <w:style w:type="paragraph" w:styleId="ListNumber3">
    <w:name w:val="List Number 3"/>
    <w:basedOn w:val="ListNumber2"/>
    <w:uiPriority w:val="13"/>
    <w:qFormat/>
    <w:rsid w:val="00f32e7e"/>
    <w:pPr>
      <w:outlineLvl w:val="2"/>
    </w:pPr>
    <w:rPr/>
  </w:style>
  <w:style w:type="paragraph" w:styleId="ListNumber4">
    <w:name w:val="List Number 4"/>
    <w:basedOn w:val="ListNumber3"/>
    <w:uiPriority w:val="13"/>
    <w:qFormat/>
    <w:rsid w:val="00f32e7e"/>
    <w:pPr>
      <w:outlineLvl w:val="3"/>
    </w:pPr>
    <w:rPr/>
  </w:style>
  <w:style w:type="paragraph" w:styleId="ListNumber5">
    <w:name w:val="List Number 5"/>
    <w:basedOn w:val="ListNumber4"/>
    <w:uiPriority w:val="13"/>
    <w:qFormat/>
    <w:rsid w:val="00f32e7e"/>
    <w:pPr>
      <w:outlineLvl w:val="4"/>
    </w:pPr>
    <w:rPr/>
  </w:style>
  <w:style w:type="paragraph" w:styleId="TOCHeading">
    <w:name w:val="TOC Heading"/>
    <w:basedOn w:val="Berschrift1"/>
    <w:next w:val="Normal"/>
    <w:uiPriority w:val="39"/>
    <w:qFormat/>
    <w:rsid w:val="00f32e7e"/>
    <w:pPr>
      <w:pageBreakBefore/>
      <w:numPr>
        <w:ilvl w:val="0"/>
        <w:numId w:val="0"/>
      </w:numPr>
      <w:ind w:left="397" w:hanging="397"/>
    </w:pPr>
    <w:rPr>
      <w:rFonts w:cs="" w:cstheme="majorBidi"/>
    </w:rPr>
  </w:style>
  <w:style w:type="paragraph" w:styleId="Titel">
    <w:name w:val="Title"/>
    <w:basedOn w:val="Normal"/>
    <w:next w:val="Untertitel"/>
    <w:link w:val="TitelZchn"/>
    <w:uiPriority w:val="10"/>
    <w:qFormat/>
    <w:rsid w:val="00f32e7e"/>
    <w:pPr>
      <w:keepLines/>
      <w:pageBreakBefore/>
      <w:numPr>
        <w:ilvl w:val="0"/>
        <w:numId w:val="2"/>
      </w:numPr>
      <w:pBdr>
        <w:top w:val="single" w:sz="48" w:space="10" w:color="FFFFFF"/>
        <w:left w:val="single" w:sz="96" w:space="4" w:color="0060BF"/>
        <w:bottom w:val="single" w:sz="48" w:space="10" w:color="FFFFFF"/>
      </w:pBdr>
      <w:spacing w:lineRule="auto" w:line="276" w:before="3000" w:after="200"/>
      <w:ind w:right="2268" w:hanging="0"/>
    </w:pPr>
    <w:rPr>
      <w:rFonts w:ascii="Calibri" w:hAnsi="Calibri" w:eastAsia="" w:cs="Times New Roman (Headings CS)" w:asciiTheme="majorHAnsi" w:eastAsiaTheme="majorEastAsia" w:hAnsiTheme="majorHAnsi"/>
      <w:color w:val="0060BF" w:themeColor="text2"/>
      <w:spacing w:val="5"/>
      <w:kern w:val="2"/>
      <w:sz w:val="52"/>
      <w:szCs w:val="56"/>
    </w:rPr>
  </w:style>
  <w:style w:type="paragraph" w:styleId="Untertitel">
    <w:name w:val="Subtitle"/>
    <w:basedOn w:val="Normal"/>
    <w:next w:val="Normal"/>
    <w:link w:val="UntertitelZchn"/>
    <w:uiPriority w:val="11"/>
    <w:qFormat/>
    <w:rsid w:val="00f32e7e"/>
    <w:pPr>
      <w:keepLines/>
      <w:numPr>
        <w:ilvl w:val="0"/>
        <w:numId w:val="3"/>
      </w:numPr>
      <w:pBdr>
        <w:top w:val="single" w:sz="48" w:space="5" w:color="FFFFFF"/>
        <w:left w:val="single" w:sz="96" w:space="4" w:color="83BC00"/>
        <w:bottom w:val="single" w:sz="48" w:space="5" w:color="FFFFFF"/>
      </w:pBdr>
      <w:spacing w:before="200" w:after="600"/>
      <w:ind w:right="2268" w:hanging="0"/>
    </w:pPr>
    <w:rPr>
      <w:rFonts w:eastAsia="" w:cs="Times New Roman (Body CS)" w:eastAsiaTheme="minorEastAsia"/>
      <w:color w:val="83BC00" w:themeColor="accent1"/>
      <w:spacing w:val="15"/>
      <w:kern w:val="2"/>
      <w:sz w:val="44"/>
      <w:szCs w:val="22"/>
    </w:rPr>
  </w:style>
  <w:style w:type="paragraph" w:styleId="BlockText">
    <w:name w:val="Block Text"/>
    <w:basedOn w:val="Normal"/>
    <w:next w:val="Normal"/>
    <w:uiPriority w:val="99"/>
    <w:qFormat/>
    <w:rsid w:val="00f32e7e"/>
    <w:pPr>
      <w:pBdr>
        <w:top w:val="single" w:sz="8" w:space="10" w:color="83BC00"/>
        <w:bottom w:val="single" w:sz="8" w:space="10" w:color="83BC00"/>
        <w:right w:val="single" w:sz="8" w:space="10" w:color="83BC00"/>
      </w:pBdr>
      <w:spacing w:before="200" w:after="200"/>
      <w:ind w:right="1134" w:hanging="0"/>
      <w:contextualSpacing/>
    </w:pPr>
    <w:rPr>
      <w:rFonts w:eastAsia="" w:eastAsiaTheme="minorEastAsia"/>
      <w:iCs/>
      <w:color w:val="83BC00" w:themeColor="accent1"/>
      <w:sz w:val="32"/>
    </w:rPr>
  </w:style>
  <w:style w:type="paragraph" w:styleId="DocumentTitle" w:customStyle="1">
    <w:name w:val="Document Title"/>
    <w:basedOn w:val="Normal"/>
    <w:next w:val="Normal"/>
    <w:uiPriority w:val="7"/>
    <w:qFormat/>
    <w:rsid w:val="00f32e7e"/>
    <w:pPr>
      <w:pBdr>
        <w:top w:val="single" w:sz="8" w:space="3" w:color="83BC00"/>
        <w:bottom w:val="single" w:sz="8" w:space="3" w:color="83BC00"/>
        <w:right w:val="single" w:sz="8" w:space="3" w:color="83BC00"/>
      </w:pBdr>
      <w:spacing w:lineRule="auto" w:line="276"/>
    </w:pPr>
    <w:rPr>
      <w:b/>
      <w:color w:val="0060BF" w:themeColor="text2"/>
      <w:sz w:val="32"/>
    </w:rPr>
  </w:style>
  <w:style w:type="paragraph" w:styleId="Caption">
    <w:name w:val="caption"/>
    <w:basedOn w:val="Normal"/>
    <w:next w:val="Normal"/>
    <w:uiPriority w:val="35"/>
    <w:qFormat/>
    <w:rsid w:val="00f32e7e"/>
    <w:pPr>
      <w:spacing w:before="200" w:after="400"/>
    </w:pPr>
    <w:rPr>
      <w:i/>
      <w:iCs/>
      <w:sz w:val="18"/>
      <w:szCs w:val="18"/>
    </w:rPr>
  </w:style>
  <w:style w:type="paragraph" w:styleId="KopfundFuzeile">
    <w:name w:val="Kopf- und Fußzeile"/>
    <w:basedOn w:val="Normal"/>
    <w:qFormat/>
    <w:pPr/>
    <w:rPr/>
  </w:style>
  <w:style w:type="paragraph" w:styleId="Kopfzeile">
    <w:name w:val="Header"/>
    <w:basedOn w:val="Normal"/>
    <w:link w:val="KopfzeileZchn"/>
    <w:uiPriority w:val="99"/>
    <w:qFormat/>
    <w:rsid w:val="00f32e7e"/>
    <w:pPr>
      <w:tabs>
        <w:tab w:val="clear" w:pos="720"/>
        <w:tab w:val="center" w:pos="4536" w:leader="none"/>
        <w:tab w:val="right" w:pos="9072" w:leader="none"/>
      </w:tabs>
      <w:spacing w:before="0" w:after="0"/>
    </w:pPr>
    <w:rPr>
      <w:color w:val="636B67" w:themeColor="accent4"/>
    </w:rPr>
  </w:style>
  <w:style w:type="paragraph" w:styleId="Fuzeile">
    <w:name w:val="Footer"/>
    <w:basedOn w:val="Normal"/>
    <w:link w:val="FuzeileZchn"/>
    <w:uiPriority w:val="99"/>
    <w:qFormat/>
    <w:rsid w:val="00f32e7e"/>
    <w:pPr>
      <w:spacing w:before="0" w:after="0"/>
    </w:pPr>
    <w:rPr>
      <w:rFonts w:cs="Times New Roman (Body CS)"/>
      <w:color w:val="636B67" w:themeColor="accent4"/>
      <w:sz w:val="16"/>
    </w:rPr>
  </w:style>
  <w:style w:type="paragraph" w:styleId="Envelopereturn">
    <w:name w:val="envelope return"/>
    <w:basedOn w:val="Normal"/>
    <w:uiPriority w:val="99"/>
    <w:qFormat/>
    <w:rsid w:val="00f32e7e"/>
    <w:pPr>
      <w:spacing w:before="0" w:after="0"/>
    </w:pPr>
    <w:rPr>
      <w:rFonts w:ascii="Calibri" w:hAnsi="Calibri" w:eastAsia="" w:cs="" w:asciiTheme="majorHAnsi" w:cstheme="majorBidi" w:eastAsiaTheme="majorEastAsia" w:hAnsiTheme="majorHAnsi"/>
      <w:color w:val="636B67" w:themeColor="accent4"/>
      <w:sz w:val="14"/>
      <w:szCs w:val="20"/>
    </w:rPr>
  </w:style>
  <w:style w:type="paragraph" w:styleId="NoSpacing">
    <w:name w:val="No Spacing"/>
    <w:basedOn w:val="Normal"/>
    <w:uiPriority w:val="1"/>
    <w:qFormat/>
    <w:rsid w:val="00f32e7e"/>
    <w:pPr>
      <w:spacing w:before="0" w:after="0"/>
    </w:pPr>
    <w:rPr/>
  </w:style>
  <w:style w:type="paragraph" w:styleId="BalloonText">
    <w:name w:val="Balloon Text"/>
    <w:basedOn w:val="Normal"/>
    <w:link w:val="SprechblasentextZchn"/>
    <w:uiPriority w:val="99"/>
    <w:semiHidden/>
    <w:qFormat/>
    <w:rsid w:val="00f32e7e"/>
    <w:pPr>
      <w:spacing w:before="0" w:after="0"/>
    </w:pPr>
    <w:rPr>
      <w:rFonts w:cs="Times New Roman"/>
      <w:sz w:val="18"/>
      <w:szCs w:val="18"/>
    </w:rPr>
  </w:style>
  <w:style w:type="paragraph" w:styleId="TextHeader" w:customStyle="1">
    <w:name w:val="Text Header"/>
    <w:basedOn w:val="Normal"/>
    <w:qFormat/>
    <w:rsid w:val="00f32e7e"/>
    <w:pPr/>
    <w:rPr>
      <w:b/>
      <w:color w:val="0060BF" w:themeColor="text2"/>
    </w:rPr>
  </w:style>
  <w:style w:type="paragraph" w:styleId="Annotationtext">
    <w:name w:val="annotation text"/>
    <w:basedOn w:val="Normal"/>
    <w:link w:val="KommentartextZchn"/>
    <w:qFormat/>
    <w:rsid w:val="00920605"/>
    <w:pPr>
      <w:spacing w:before="0" w:after="0"/>
    </w:pPr>
    <w:rPr>
      <w:rFonts w:ascii="Times New Roman" w:hAnsi="Times New Roman" w:eastAsia="Times New Roman" w:cs="Times New Roman"/>
      <w:sz w:val="24"/>
      <w:lang w:val="de-DE" w:eastAsia="de-DE"/>
    </w:rPr>
  </w:style>
  <w:style w:type="numbering" w:styleId="NoList" w:default="1">
    <w:name w:val="No List"/>
    <w:uiPriority w:val="99"/>
    <w:semiHidden/>
    <w:unhideWhenUsed/>
    <w:qFormat/>
  </w:style>
  <w:style w:type="numbering" w:styleId="Headings" w:customStyle="1">
    <w:name w:val="Headings"/>
    <w:uiPriority w:val="99"/>
    <w:qFormat/>
    <w:rsid w:val="00f32e7e"/>
  </w:style>
  <w:style w:type="numbering" w:styleId="Bullets" w:customStyle="1">
    <w:name w:val="Bullets"/>
    <w:uiPriority w:val="99"/>
    <w:qFormat/>
    <w:rsid w:val="00f32e7e"/>
  </w:style>
  <w:style w:type="numbering" w:styleId="Numbers" w:customStyle="1">
    <w:name w:val="Numbers"/>
    <w:uiPriority w:val="99"/>
    <w:qFormat/>
    <w:rsid w:val="00f32e7e"/>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Kardex">
    <w:name w:val="Kardex"/>
    <w:basedOn w:val="NormaleTabelle"/>
    <w:uiPriority w:val="99"/>
    <w:rsid w:val="00f32e7e"/>
    <w:rPr>
      <w:lang w:val="en-US" w:eastAsia="zh-TW"/>
      <w:sz w:val="20"/>
    </w:rPr>
    <w:tblPr>
      <w:tblStyleColBandSize w:val="1"/>
      <w:tblBorders>
        <w:top w:val="single" w:color="9BAAB4" w:themeColor="background2" w:sz="4" w:space="0"/>
        <w:bottom w:val="single" w:color="9BAAB4" w:themeColor="background2" w:sz="4" w:space="0"/>
        <w:insideH w:val="single" w:color="9BAAB4" w:themeColor="background2" w:sz="4" w:space="0"/>
        <w:insideV w:val="single" w:color="9BAAB4" w:themeColor="background2" w:sz="4" w:space="0"/>
      </w:tblBorders>
    </w:tblPr>
    <w:tblStylePr w:type="firstRow">
      <w:rPr>
        <w:b/>
        <w:color w:val="83BC00" w:themeColor="accent1"/>
      </w:rPr>
      <w:tblPr/>
      <w:tcPr>
        <w:tcBorders>
          <w:bottom w:val="single" w:color="9BAAB4" w:themeColor="background2" w:sz="12" w:space="0"/>
        </w:tcBorders>
      </w:tcPr>
    </w:tblStylePr>
    <w:tblStylePr w:type="lastRow">
      <w:rPr>
        <w:b/>
        <w:color w:val="0060BF" w:themeColor="text2"/>
      </w:rPr>
      <w:tblPr/>
      <w:tcPr>
        <w:tcBorders>
          <w:top w:val="single" w:color="9BAAB4" w:themeColor="background2" w:sz="12" w:space="0"/>
          <w:left w:val="nil"/>
          <w:bottom w:val="single" w:color="9BAAB4" w:themeColor="background2" w:sz="4" w:space="0"/>
          <w:right w:val="nil"/>
          <w:insideH w:val="single" w:color="9BAAB4" w:themeColor="background2" w:sz="4" w:space="0"/>
          <w:insideV w:val="single" w:color="9BAAB4" w:themeColor="background2" w:sz="4" w:space="0"/>
          <w:tl2br w:val="nil"/>
          <w:tr2bl w:val="nil"/>
        </w:tcBorders>
      </w:tcPr>
    </w:tblStylePr>
    <w:tblStylePr w:type="firstCol">
      <w:rPr>
        <w:b/>
        <w:color w:val="83BC00" w:themeColor="accent1"/>
      </w:rPr>
      <w:tblPr/>
      <w:tcPr>
        <w:tcBorders>
          <w:top w:val="single" w:color="9BAAB4" w:themeColor="background2" w:sz="4" w:space="0"/>
          <w:left w:val="nil"/>
          <w:bottom w:val="single" w:color="9BAAB4" w:themeColor="background2" w:sz="4" w:space="0"/>
          <w:right w:val="single" w:color="9BAAB4" w:themeColor="background2" w:sz="4" w:space="0"/>
          <w:insideH w:val="single" w:color="9BAAB4" w:themeColor="background2" w:sz="4" w:space="0"/>
          <w:insideV w:val="single" w:color="9BAAB4" w:themeColor="background2" w:sz="4" w:space="0"/>
          <w:tl2br w:val="nil"/>
          <w:tr2bl w:val="nil"/>
        </w:tcBorders>
      </w:tcPr>
    </w:tblStylePr>
    <w:tblStylePr w:type="lastCol">
      <w:rPr>
        <w:b/>
        <w:color w:val="0060BF" w:themeColor="text2"/>
      </w:rPr>
      <w:tbl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lang w:val="en-US" w:eastAsia="zh-TW"/>
      <w:sz w:val="20"/>
    </w:rPr>
    <w:tblPr>
      <w:tblBorders>
        <w:top w:val="single" w:color="9BAAB4" w:themeColor="background2" w:sz="4" w:space="0"/>
        <w:bottom w:val="single" w:color="9BAAB4" w:themeColor="background2" w:sz="4" w:space="0"/>
        <w:insideH w:val="single" w:color="9BAAB4" w:themeColor="background2" w:sz="4" w:space="0"/>
      </w:tblBorders>
    </w:tblPr>
    <w:tblStylePr w:type="firstRow">
      <w:rPr>
        <w:b/>
        <w:color w:val="83BC00" w:themeColor="accent1"/>
      </w:rPr>
      <w:tblPr/>
      <w:tcPr>
        <w:tcBorders>
          <w:top w:val="single" w:color="9BAAB4" w:themeColor="background2" w:sz="4" w:space="0"/>
          <w:left w:val="nil"/>
          <w:bottom w:val="single" w:color="9BAAB4" w:themeColor="background2" w:sz="12" w:space="0"/>
          <w:right w:val="nil"/>
          <w:insideH w:val="single" w:color="9BAAB4" w:themeColor="background2" w:sz="4" w:space="0"/>
          <w:insideV w:val="nil"/>
          <w:tl2br w:val="nil"/>
          <w:tr2bl w:val="nil"/>
        </w:tcBorders>
      </w:tcPr>
    </w:tblStylePr>
    <w:tblStylePr w:type="lastRow">
      <w:rPr>
        <w:b/>
        <w:color w:val="0060BF" w:themeColor="text2"/>
      </w:rPr>
      <w:tblPr/>
      <w:tcPr>
        <w:tcBorders>
          <w:top w:val="single" w:color="9BAAB4" w:themeColor="background2" w:sz="12" w:space="0"/>
          <w:left w:val="nil"/>
          <w:bottom w:val="single" w:color="9BAAB4" w:themeColor="background2" w:sz="4" w:space="0"/>
          <w:right w:val="nil"/>
          <w:insideH w:val="single" w:color="9BAAB4" w:themeColor="background2" w:sz="4" w:space="0"/>
          <w:insideV w:val="nil"/>
          <w:tl2br w:val="nil"/>
          <w:tr2bl w:val="nil"/>
        </w:tcBorders>
      </w:tcPr>
    </w:tblStylePr>
    <w:tblStylePr w:type="firstCol">
      <w:rPr>
        <w:b/>
        <w:color w:val="83BC00" w:themeColor="accent1"/>
      </w:rPr>
      <w:tblPr/>
    </w:tblStylePr>
    <w:tblStylePr w:type="lastCol">
      <w:rPr>
        <w:b/>
        <w:color w:val="0060BF" w:themeColor="text2"/>
      </w:rPr>
      <w:tblPr/>
    </w:tblStylePr>
  </w:style>
  <w:style w:type="table" w:styleId="Tabellenraster">
    <w:name w:val="Table Grid"/>
    <w:basedOn w:val="NormaleTabelle"/>
    <w:uiPriority w:val="39"/>
    <w:rsid w:val="00f32e7e"/>
    <w:rPr>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rdex-mlog.com/" TargetMode="External"/><Relationship Id="rId3" Type="http://schemas.openxmlformats.org/officeDocument/2006/relationships/hyperlink" Target="http://www.kardex.com/d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9CFD-709C-49EF-8090-FCFCCC9C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C:\Users\mbarreiro\AppData\Local\Temp\Temp1_Word Mlog.zip\Logo and Title Mlog.dotx</Template>
  <TotalTime>1</TotalTime>
  <Application>LibreOffice/7.0.3.1$Windows_X86_64 LibreOffice_project/d7547858d014d4cf69878db179d326fc3483e082</Application>
  <Pages>2</Pages>
  <Words>400</Words>
  <Characters>2763</Characters>
  <CharactersWithSpaces>3146</CharactersWithSpaces>
  <Paragraphs>29</Paragraphs>
  <Company>Kardex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2020-12-01T08:24:00Z</dcterms:created>
  <dc:creator>bew</dc:creator>
  <dc:description/>
  <dc:language>de-DE</dc:language>
  <cp:lastModifiedBy/>
  <dcterms:modified xsi:type="dcterms:W3CDTF">2020-12-01T18:09:05Z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Kardex AG</vt:lpwstr>
  </property>
  <property fmtid="{D5CDD505-2E9C-101B-9397-08002B2CF9AE}" pid="4" name="ContentTypeId">
    <vt:lpwstr>0x010100854502875D7C07419D6973934FB80A01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