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16B44" w14:textId="77777777" w:rsidR="008279D0" w:rsidRDefault="00214BD7">
      <w:pPr>
        <w:pStyle w:val="DocumentTitle"/>
        <w:rPr>
          <w:lang w:val="de-DE"/>
        </w:rPr>
      </w:pPr>
      <w:r>
        <w:rPr>
          <w:lang w:val="de-DE"/>
        </w:rPr>
        <w:t>Medienmitteilung</w:t>
      </w:r>
    </w:p>
    <w:p w14:paraId="2D4109E9" w14:textId="3326042A" w:rsidR="00F9720C" w:rsidRDefault="00F9720C">
      <w:pPr>
        <w:pStyle w:val="TextHeader"/>
        <w:rPr>
          <w:rFonts w:cstheme="minorHAnsi"/>
          <w:sz w:val="22"/>
          <w:szCs w:val="22"/>
          <w:lang w:val="de-DE"/>
        </w:rPr>
      </w:pPr>
      <w:r>
        <w:rPr>
          <w:rFonts w:cstheme="minorHAnsi"/>
          <w:noProof/>
          <w:sz w:val="22"/>
          <w:szCs w:val="22"/>
          <w:lang w:val="de-DE"/>
        </w:rPr>
        <w:drawing>
          <wp:inline distT="0" distB="0" distL="0" distR="0" wp14:anchorId="1967A86A" wp14:editId="081FD00E">
            <wp:extent cx="4686300" cy="215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4686300" cy="2159000"/>
                    </a:xfrm>
                    <a:prstGeom prst="rect">
                      <a:avLst/>
                    </a:prstGeom>
                  </pic:spPr>
                </pic:pic>
              </a:graphicData>
            </a:graphic>
          </wp:inline>
        </w:drawing>
      </w:r>
    </w:p>
    <w:p w14:paraId="547A94E6" w14:textId="336EFF55" w:rsidR="00F9720C" w:rsidRPr="00F9720C" w:rsidRDefault="00F9720C">
      <w:pPr>
        <w:pStyle w:val="TextHeader"/>
        <w:rPr>
          <w:rFonts w:cstheme="minorHAnsi"/>
          <w:b w:val="0"/>
          <w:bCs/>
          <w:color w:val="000000" w:themeColor="text1"/>
          <w:sz w:val="22"/>
          <w:szCs w:val="22"/>
          <w:lang w:val="de-DE"/>
        </w:rPr>
      </w:pPr>
      <w:r w:rsidRPr="00F9720C">
        <w:rPr>
          <w:rFonts w:cstheme="minorHAnsi"/>
          <w:b w:val="0"/>
          <w:bCs/>
          <w:color w:val="000000" w:themeColor="text1"/>
          <w:sz w:val="22"/>
          <w:szCs w:val="22"/>
          <w:lang w:val="de-DE"/>
        </w:rPr>
        <w:t>Bild links: In über 96 Prozent der Fälle führt die Fernwartung mit dem eingesetzten Konzept von Kardex Mlog zum Erfolg</w:t>
      </w:r>
      <w:r>
        <w:rPr>
          <w:rFonts w:cstheme="minorHAnsi"/>
          <w:b w:val="0"/>
          <w:bCs/>
          <w:color w:val="000000" w:themeColor="text1"/>
          <w:sz w:val="22"/>
          <w:szCs w:val="22"/>
          <w:lang w:val="de-DE"/>
        </w:rPr>
        <w:t xml:space="preserve">. Bild </w:t>
      </w:r>
      <w:r w:rsidRPr="00F9720C">
        <w:rPr>
          <w:rFonts w:cstheme="minorHAnsi"/>
          <w:b w:val="0"/>
          <w:bCs/>
          <w:color w:val="000000" w:themeColor="text1"/>
          <w:sz w:val="22"/>
          <w:szCs w:val="22"/>
          <w:lang w:val="de-DE"/>
        </w:rPr>
        <w:t>rechts: „</w:t>
      </w:r>
      <w:r w:rsidRPr="00F9720C">
        <w:rPr>
          <w:b w:val="0"/>
          <w:bCs/>
          <w:color w:val="000000" w:themeColor="text1"/>
          <w:lang w:val="de-DE"/>
        </w:rPr>
        <w:t>In Zukunft könnte der Anteil der Fernwartungen auf 80 bis 90 Prozent steigen.“ Rainer Busch, Leiter des Bereichs Life Cycle Service und Mitglied der Geschäftsleitung von Kardex Mlog</w:t>
      </w:r>
      <w:r>
        <w:rPr>
          <w:b w:val="0"/>
          <w:bCs/>
          <w:color w:val="000000" w:themeColor="text1"/>
          <w:lang w:val="de-DE"/>
        </w:rPr>
        <w:t>. Fotos: Kardex Mlog</w:t>
      </w:r>
    </w:p>
    <w:p w14:paraId="1B2FD448" w14:textId="77777777" w:rsidR="00F9720C" w:rsidRDefault="00F9720C">
      <w:pPr>
        <w:pStyle w:val="TextHeader"/>
        <w:rPr>
          <w:rFonts w:cstheme="minorHAnsi"/>
          <w:sz w:val="22"/>
          <w:szCs w:val="22"/>
          <w:lang w:val="de-DE"/>
        </w:rPr>
      </w:pPr>
    </w:p>
    <w:p w14:paraId="3C07B3D5" w14:textId="477D4EB3" w:rsidR="008279D0" w:rsidRDefault="00214BD7">
      <w:pPr>
        <w:pStyle w:val="TextHeader"/>
        <w:rPr>
          <w:rFonts w:cstheme="minorHAnsi"/>
          <w:sz w:val="22"/>
          <w:szCs w:val="22"/>
          <w:lang w:val="de-DE"/>
        </w:rPr>
      </w:pPr>
      <w:r>
        <w:rPr>
          <w:rFonts w:cstheme="minorHAnsi"/>
          <w:sz w:val="22"/>
          <w:szCs w:val="22"/>
          <w:lang w:val="de-DE"/>
        </w:rPr>
        <w:t>Kardex Mlog / Life Cycle Service</w:t>
      </w:r>
    </w:p>
    <w:p w14:paraId="0E8AD357" w14:textId="77777777" w:rsidR="008279D0" w:rsidRDefault="00214BD7">
      <w:pPr>
        <w:pStyle w:val="TextHeader"/>
        <w:rPr>
          <w:rFonts w:cs="Calibri"/>
          <w:sz w:val="34"/>
          <w:szCs w:val="34"/>
          <w:lang w:val="de-DE"/>
        </w:rPr>
      </w:pPr>
      <w:r>
        <w:rPr>
          <w:rFonts w:cs="Calibri"/>
          <w:sz w:val="34"/>
          <w:szCs w:val="34"/>
          <w:lang w:val="de-DE"/>
        </w:rPr>
        <w:t>Service auch für Fremde</w:t>
      </w:r>
    </w:p>
    <w:p w14:paraId="3B414FEC" w14:textId="7BE76C52" w:rsidR="00A068ED" w:rsidRDefault="00214BD7">
      <w:pPr>
        <w:pStyle w:val="TextHeader"/>
        <w:spacing w:line="360" w:lineRule="auto"/>
        <w:rPr>
          <w:rFonts w:cstheme="majorHAnsi"/>
          <w:bCs/>
          <w:i/>
          <w:sz w:val="22"/>
          <w:szCs w:val="22"/>
          <w:lang w:val="de-DE"/>
        </w:rPr>
      </w:pPr>
      <w:r>
        <w:rPr>
          <w:rFonts w:cstheme="majorHAnsi"/>
          <w:bCs/>
          <w:i/>
          <w:sz w:val="22"/>
          <w:szCs w:val="22"/>
          <w:lang w:val="de-DE"/>
        </w:rPr>
        <w:t>Neuenstadt, 2</w:t>
      </w:r>
      <w:r w:rsidR="00B16934">
        <w:rPr>
          <w:rFonts w:cstheme="majorHAnsi"/>
          <w:bCs/>
          <w:i/>
          <w:sz w:val="22"/>
          <w:szCs w:val="22"/>
          <w:lang w:val="de-DE"/>
        </w:rPr>
        <w:t>8</w:t>
      </w:r>
      <w:r>
        <w:rPr>
          <w:rFonts w:cstheme="majorHAnsi"/>
          <w:bCs/>
          <w:i/>
          <w:sz w:val="22"/>
          <w:szCs w:val="22"/>
          <w:lang w:val="de-DE"/>
        </w:rPr>
        <w:t>.01.2021 –</w:t>
      </w:r>
      <w:r w:rsidR="00A068ED">
        <w:rPr>
          <w:rFonts w:cstheme="majorHAnsi"/>
          <w:bCs/>
          <w:i/>
          <w:sz w:val="22"/>
          <w:szCs w:val="22"/>
          <w:lang w:val="de-DE"/>
        </w:rPr>
        <w:t xml:space="preserve"> </w:t>
      </w:r>
      <w:r w:rsidR="00A068ED" w:rsidRPr="00A068ED">
        <w:rPr>
          <w:rFonts w:cstheme="majorHAnsi"/>
          <w:bCs/>
          <w:i/>
          <w:sz w:val="22"/>
          <w:szCs w:val="22"/>
          <w:lang w:val="de-DE"/>
        </w:rPr>
        <w:t xml:space="preserve">Kardex Mlog hat die Wartung und Reparatur für automatisierte Lager nochmals optimiert und setzt mehr denn je auf das Remote-Verfahren. In über 96 Prozent der Fälle führt die Fernwartung mit dem eingesetzten Konzept von Kardex Mlog zum Erfolg, so dass vor dem Hintergrund der Corona-Pandemie viele persönliche Kontakte vermieden werden, während die Anlagenverfügbarkeit steigt. Mit diesem Konzept konnte der Geschäftsbereich Life Cycle Service im vergangenen Jahr seinen Umsatz und die Kundenzufriedenheit weiter ausbauen. Das aus sechs Servicemodulen bestehenden Life Cycle Service Konzept bietet das in Neuenstadt beheimatete Unternehmen auch für die Anlagen fremder </w:t>
      </w:r>
      <w:r w:rsidR="0029075A">
        <w:rPr>
          <w:rFonts w:cstheme="majorHAnsi"/>
          <w:bCs/>
          <w:i/>
          <w:sz w:val="22"/>
          <w:szCs w:val="22"/>
          <w:lang w:val="de-DE"/>
        </w:rPr>
        <w:t>Anbieter</w:t>
      </w:r>
      <w:r w:rsidR="00A068ED" w:rsidRPr="00A068ED">
        <w:rPr>
          <w:rFonts w:cstheme="majorHAnsi"/>
          <w:bCs/>
          <w:i/>
          <w:sz w:val="22"/>
          <w:szCs w:val="22"/>
          <w:lang w:val="de-DE"/>
        </w:rPr>
        <w:t>.</w:t>
      </w:r>
    </w:p>
    <w:p w14:paraId="1B7D8875" w14:textId="77777777" w:rsidR="008279D0" w:rsidRDefault="00214BD7">
      <w:pPr>
        <w:spacing w:line="360" w:lineRule="auto"/>
        <w:rPr>
          <w:color w:val="000000" w:themeColor="text1"/>
          <w:lang w:val="de-DE"/>
        </w:rPr>
      </w:pPr>
      <w:r>
        <w:rPr>
          <w:color w:val="000000" w:themeColor="text1"/>
          <w:lang w:val="de-DE"/>
        </w:rPr>
        <w:t>Der Life Cycle Service begleitet Logistikanlagen während ihrer gesamten Lebensdauer, sorgt für maximale Ausfallsicherheit und hält die Technik auf dem neuesten Stand. Aus sechs Servicemodulen können sich Kunden ein passgenaues Wartungskonzept konfigurieren. Im Modul Support Services bietet Kardex Mlog Reparaturen vor Ort oder per Ferndiagnose, unterstützt durch Augmented Reality. Eine Rufbereitschaft sowie eine 24/7 Hotline komplettieren das Angebot. Weitere Servicemodule konzentrieren sich auf die Bereiche Ersatzteile, Schulung und Beratung, vorausschauende Wartung, Servicevereinbarungen und Sicherheit. Darin inbegriffen sind nicht nur die UVV-</w:t>
      </w:r>
      <w:r>
        <w:rPr>
          <w:rFonts w:cstheme="majorHAnsi"/>
          <w:color w:val="000000" w:themeColor="text1"/>
          <w:lang w:val="de-DE"/>
        </w:rPr>
        <w:t xml:space="preserve">Prüfungen, die DGUV-V3 Prüfung, das </w:t>
      </w:r>
      <w:r>
        <w:rPr>
          <w:rFonts w:cstheme="majorHAnsi"/>
          <w:color w:val="000000" w:themeColor="text1"/>
          <w:szCs w:val="20"/>
          <w:lang w:val="de-DE"/>
        </w:rPr>
        <w:t xml:space="preserve">Einhalten der </w:t>
      </w:r>
      <w:r>
        <w:rPr>
          <w:rFonts w:cstheme="majorHAnsi"/>
          <w:color w:val="000000" w:themeColor="text1"/>
          <w:szCs w:val="20"/>
          <w:shd w:val="clear" w:color="auto" w:fill="FFFFFF"/>
          <w:lang w:val="de-DE"/>
        </w:rPr>
        <w:t>Unfallverhütungsvorschriften</w:t>
      </w:r>
      <w:r>
        <w:rPr>
          <w:rFonts w:cstheme="majorHAnsi"/>
          <w:color w:val="000000" w:themeColor="text1"/>
          <w:szCs w:val="20"/>
          <w:lang w:val="de-DE"/>
        </w:rPr>
        <w:t xml:space="preserve"> und </w:t>
      </w:r>
      <w:r>
        <w:rPr>
          <w:rFonts w:cstheme="majorHAnsi"/>
          <w:color w:val="000000" w:themeColor="text1"/>
          <w:lang w:val="de-DE"/>
        </w:rPr>
        <w:t>Sicherheitsunterweisungen</w:t>
      </w:r>
      <w:r>
        <w:rPr>
          <w:color w:val="000000" w:themeColor="text1"/>
          <w:lang w:val="de-DE"/>
        </w:rPr>
        <w:t xml:space="preserve">, sondern auch die jährlich vorgeschriebenen Regalprüfungen gemäß EN 15635. Bei der Regalprüfung treten oft Mängel zutage, die sofort nachgebessert werden müssen. Im Schadensfall drohen </w:t>
      </w:r>
      <w:r>
        <w:rPr>
          <w:color w:val="000000" w:themeColor="text1"/>
          <w:lang w:val="de-DE"/>
        </w:rPr>
        <w:lastRenderedPageBreak/>
        <w:t xml:space="preserve">den Lagerverantwortlichen hohe Bußgelder und strafrechtliche Konsequenzen, wenn durch unzureichend gesicherte Regale Menschen verletzt werden. „Wir bieten unseren Kunden einen Rundum-Service mit nur einem zentralen Ansprechpartner für die gesamte Anlage“, betont </w:t>
      </w:r>
      <w:bookmarkStart w:id="0" w:name="_Hlk62668569"/>
      <w:r>
        <w:rPr>
          <w:color w:val="000000" w:themeColor="text1"/>
          <w:lang w:val="de-DE"/>
        </w:rPr>
        <w:t>Rainer Busch, Leiter des Bereichs Life Cycle Service und Mitglied der Geschäftsleitung von Kardex Mlog</w:t>
      </w:r>
      <w:bookmarkEnd w:id="0"/>
      <w:r>
        <w:rPr>
          <w:color w:val="000000" w:themeColor="text1"/>
          <w:lang w:val="de-DE"/>
        </w:rPr>
        <w:t>. Vor diesem Hintergrund und wegen des positiven Feedbacks der Kunden übernehme sein Team auch den technischen Service von Anlagen, die nicht von Kardex Mlog errichtet wurden.</w:t>
      </w:r>
    </w:p>
    <w:p w14:paraId="39E8BBF5" w14:textId="78433140" w:rsidR="008279D0" w:rsidRDefault="00214BD7">
      <w:pPr>
        <w:spacing w:line="360" w:lineRule="auto"/>
        <w:rPr>
          <w:color w:val="000000" w:themeColor="text1"/>
          <w:lang w:val="de-DE"/>
        </w:rPr>
      </w:pPr>
      <w:r>
        <w:rPr>
          <w:color w:val="000000" w:themeColor="text1"/>
          <w:lang w:val="de-DE"/>
        </w:rPr>
        <w:t xml:space="preserve">Das Potenzial des Remote-Verfahrens hat Kardex MLog als einer der ersten </w:t>
      </w:r>
      <w:r>
        <w:rPr>
          <w:rFonts w:eastAsia="Times New Roman" w:cs="Calibri"/>
          <w:color w:val="000000" w:themeColor="text1"/>
          <w:szCs w:val="20"/>
          <w:lang w:val="de-DE" w:eastAsia="de-DE"/>
        </w:rPr>
        <w:t>Anbieter für integrierte Materialflusssysteme und Hochregallager</w:t>
      </w:r>
      <w:r>
        <w:rPr>
          <w:color w:val="000000" w:themeColor="text1"/>
          <w:lang w:val="de-DE"/>
        </w:rPr>
        <w:t xml:space="preserve"> früh erkannt und seitdem konsequent ausgebaut und weiterentwickelt. Der Lager-Automatisierer hat seit 1997 bereits mehrere Hundert Lösungen für die Fernwartung realisiert. Heute werden bereits 75 Prozent des Support-Services für automatisierte Lager im Remote-Verfahren durchgeführt. „In Zukunft könnte dieser Anteil auf 80 bis 90 Prozent steigen“, ist Busch überzeugt.</w:t>
      </w:r>
    </w:p>
    <w:p w14:paraId="307F7C79" w14:textId="54287979" w:rsidR="008279D0" w:rsidRDefault="00214BD7">
      <w:pPr>
        <w:spacing w:line="360" w:lineRule="auto"/>
        <w:rPr>
          <w:color w:val="000000" w:themeColor="text1"/>
          <w:lang w:val="de-DE"/>
        </w:rPr>
      </w:pPr>
      <w:r>
        <w:rPr>
          <w:color w:val="000000" w:themeColor="text1"/>
          <w:lang w:val="de-DE"/>
        </w:rPr>
        <w:t xml:space="preserve">Die Präsenz von externen Service-Technikern im eigenen Lager ist </w:t>
      </w:r>
      <w:r w:rsidR="00EC4823">
        <w:rPr>
          <w:color w:val="000000" w:themeColor="text1"/>
          <w:lang w:val="de-DE"/>
        </w:rPr>
        <w:t>demnach</w:t>
      </w:r>
      <w:r>
        <w:rPr>
          <w:color w:val="000000" w:themeColor="text1"/>
          <w:lang w:val="de-DE"/>
        </w:rPr>
        <w:t xml:space="preserve"> nur noch in seltenen Fällen erforderlich. Zu den Treibern dieser Entwicklung gehört die zunehmende Vernetzung der Anlagen insbesondere im Hinblick auf Industrie 4.0. und den damit verbundenen Smart Service Solutions von KardexMlog. Die Entwicklung hängt aber auch von der Qualifizierung der Mitarbeiter beim Anlagenbetreiber ab. Wenn im Zuge der Fernwartung ein Hardware-Defekt diagnostiziert wird, können manche Teile in enger Abstimmung mit der Hotline aber auch mit Hilfe der Augmented Reality durch den Kunden selbst ausgetauscht werden, wenn dieser über die entsprechenden Grundkenntnisse verfügt. Durch den geleisteten Eigenanteil lassen sich die Instandhaltungskosten von automatisierten Lagern spürbar senken, was Kardex Mlog mit dem Servicemodul „Schulung / Optimierung / Beratung“ aktiv fördert. Neben den Bedienerschulungen bietet das Unternehmen auch Instandhalterschulungen sowie Systemschulungen für das Logistikmanagement  an.</w:t>
      </w:r>
    </w:p>
    <w:p w14:paraId="25D6F8F6" w14:textId="77777777" w:rsidR="008279D0" w:rsidRDefault="008279D0">
      <w:pPr>
        <w:rPr>
          <w:lang w:val="de-DE"/>
        </w:rPr>
      </w:pPr>
    </w:p>
    <w:p w14:paraId="4319C863" w14:textId="77777777" w:rsidR="008279D0" w:rsidRDefault="00214BD7">
      <w:pPr>
        <w:pStyle w:val="TextHeader"/>
        <w:rPr>
          <w:lang w:val="de-DE"/>
        </w:rPr>
      </w:pPr>
      <w:r>
        <w:rPr>
          <w:lang w:val="de-DE"/>
        </w:rPr>
        <w:t xml:space="preserve">Weitere Informationen unter: </w:t>
      </w:r>
    </w:p>
    <w:p w14:paraId="4F2961B2" w14:textId="77777777" w:rsidR="008279D0" w:rsidRDefault="00214BD7">
      <w:pPr>
        <w:rPr>
          <w:lang w:val="de-DE"/>
        </w:rPr>
      </w:pPr>
      <w:r>
        <w:rPr>
          <w:lang w:val="de-DE"/>
        </w:rPr>
        <w:t>www.kardex.com</w:t>
      </w:r>
    </w:p>
    <w:p w14:paraId="0195BA71" w14:textId="77777777" w:rsidR="008279D0" w:rsidRDefault="008279D0">
      <w:pPr>
        <w:rPr>
          <w:lang w:val="de-DE"/>
        </w:rPr>
      </w:pPr>
    </w:p>
    <w:p w14:paraId="681E2D2E" w14:textId="77777777" w:rsidR="008279D0" w:rsidRDefault="00214BD7">
      <w:pPr>
        <w:pStyle w:val="TextHeader"/>
        <w:rPr>
          <w:lang w:val="de-DE"/>
        </w:rPr>
      </w:pPr>
      <w:r>
        <w:rPr>
          <w:lang w:val="de-DE"/>
        </w:rPr>
        <w:t>Über Kardex Mlog</w:t>
      </w:r>
    </w:p>
    <w:p w14:paraId="538F174D" w14:textId="77777777" w:rsidR="00EC4823" w:rsidRPr="00EC4823" w:rsidRDefault="00EC4823" w:rsidP="00EC4823">
      <w:pPr>
        <w:spacing w:before="0" w:after="0"/>
        <w:rPr>
          <w:rFonts w:eastAsia="Times New Roman" w:cs="Calibri"/>
          <w:color w:val="000000" w:themeColor="text1"/>
          <w:szCs w:val="20"/>
          <w:lang w:val="de-DE" w:eastAsia="de-DE"/>
        </w:rPr>
      </w:pPr>
      <w:r w:rsidRPr="00EC4823">
        <w:rPr>
          <w:rFonts w:eastAsia="Times New Roman" w:cs="Calibri"/>
          <w:b/>
          <w:bCs/>
          <w:color w:val="000000" w:themeColor="text1"/>
          <w:szCs w:val="20"/>
          <w:lang w:val="de-DE" w:eastAsia="de-DE"/>
        </w:rPr>
        <w:t xml:space="preserve">Kardex Mlog </w:t>
      </w:r>
      <w:r w:rsidRPr="00EC4823">
        <w:rPr>
          <w:rFonts w:eastAsia="Times New Roman" w:cs="Calibri"/>
          <w:color w:val="000000" w:themeColor="text1"/>
          <w:szCs w:val="20"/>
          <w:lang w:val="de-DE" w:eastAsia="de-DE"/>
        </w:rPr>
        <w:t>(www.kardex.com) mit Sitz in Neuenstadt am Kocher ist einer der führenden Anbieter für integrierte Materialflusssysteme und Hochregallager.</w:t>
      </w:r>
    </w:p>
    <w:p w14:paraId="337DD331" w14:textId="77777777" w:rsidR="00EC4823" w:rsidRPr="00EC4823" w:rsidRDefault="00EC4823" w:rsidP="00EC4823">
      <w:pPr>
        <w:spacing w:before="0" w:after="0"/>
        <w:rPr>
          <w:rFonts w:eastAsia="Times New Roman" w:cs="Calibri"/>
          <w:color w:val="000000" w:themeColor="text1"/>
          <w:szCs w:val="20"/>
          <w:lang w:val="de-DE" w:eastAsia="de-DE"/>
        </w:rPr>
      </w:pPr>
      <w:r w:rsidRPr="00EC4823">
        <w:rPr>
          <w:rFonts w:eastAsia="Times New Roman" w:cs="Calibri"/>
          <w:color w:val="000000" w:themeColor="text1"/>
          <w:szCs w:val="20"/>
          <w:lang w:val="de-DE" w:eastAsia="de-DE"/>
        </w:rPr>
        <w:t xml:space="preserve"> </w:t>
      </w:r>
    </w:p>
    <w:p w14:paraId="1B39ACE5" w14:textId="588CA123" w:rsidR="00EC4823" w:rsidRPr="00EC4823" w:rsidRDefault="00EC4823" w:rsidP="00EC4823">
      <w:pPr>
        <w:spacing w:before="0" w:after="0"/>
        <w:rPr>
          <w:rFonts w:eastAsia="Times New Roman" w:cs="Calibri"/>
          <w:color w:val="000000" w:themeColor="text1"/>
          <w:szCs w:val="20"/>
          <w:lang w:val="de-DE" w:eastAsia="de-DE"/>
        </w:rPr>
      </w:pPr>
      <w:r w:rsidRPr="00EC4823">
        <w:rPr>
          <w:rFonts w:eastAsia="Times New Roman" w:cs="Calibri"/>
          <w:color w:val="000000" w:themeColor="text1"/>
          <w:szCs w:val="20"/>
          <w:lang w:val="de-DE" w:eastAsia="de-DE"/>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300 Mitarbeitende, der Umsatz für das Jahr 2019 lag bei 79 Mio. Euro. Weitere Informationen zur Kardex-Gruppe unter: </w:t>
      </w:r>
      <w:hyperlink r:id="rId12" w:history="1">
        <w:r w:rsidRPr="00EC4823">
          <w:rPr>
            <w:rStyle w:val="Hyperlink"/>
            <w:rFonts w:eastAsia="Times New Roman" w:cs="Calibri"/>
            <w:szCs w:val="20"/>
            <w:lang w:val="de-DE" w:eastAsia="de-DE"/>
          </w:rPr>
          <w:t>www.kardex.com</w:t>
        </w:r>
      </w:hyperlink>
    </w:p>
    <w:p w14:paraId="17AEE438" w14:textId="77777777" w:rsidR="00EC4823" w:rsidRDefault="00EC4823" w:rsidP="00EC4823">
      <w:pPr>
        <w:spacing w:before="0" w:after="0"/>
        <w:rPr>
          <w:rFonts w:eastAsia="Times New Roman" w:cs="Calibri"/>
          <w:b/>
          <w:bCs/>
          <w:color w:val="000000" w:themeColor="text1"/>
          <w:szCs w:val="20"/>
          <w:lang w:val="de-DE" w:eastAsia="de-DE"/>
        </w:rPr>
      </w:pPr>
    </w:p>
    <w:p w14:paraId="23025919" w14:textId="77777777" w:rsidR="008279D0" w:rsidRDefault="00214BD7">
      <w:pPr>
        <w:pStyle w:val="TextHeader"/>
        <w:rPr>
          <w:lang w:val="de-DE"/>
        </w:rPr>
      </w:pPr>
      <w:r>
        <w:rPr>
          <w:lang w:val="de-DE"/>
        </w:rPr>
        <w:t>Weitere Informationen:</w:t>
      </w:r>
    </w:p>
    <w:p w14:paraId="2C20EC0D" w14:textId="77777777" w:rsidR="008279D0" w:rsidRDefault="00214BD7">
      <w:pPr>
        <w:spacing w:before="0" w:after="0"/>
        <w:rPr>
          <w:lang w:val="de-DE"/>
        </w:rPr>
      </w:pPr>
      <w:r>
        <w:rPr>
          <w:lang w:val="de-DE"/>
        </w:rPr>
        <w:t>MLOG Logistics GmbH</w:t>
      </w:r>
    </w:p>
    <w:p w14:paraId="060C6BA5" w14:textId="77777777" w:rsidR="008279D0" w:rsidRDefault="00214BD7">
      <w:pPr>
        <w:spacing w:before="0" w:after="0"/>
        <w:rPr>
          <w:lang w:val="de-DE"/>
        </w:rPr>
      </w:pPr>
      <w:r>
        <w:rPr>
          <w:lang w:val="de-DE"/>
        </w:rPr>
        <w:lastRenderedPageBreak/>
        <w:t>Wilhelm-Maybach-Straße 2</w:t>
      </w:r>
    </w:p>
    <w:p w14:paraId="258A3FE8" w14:textId="77777777" w:rsidR="008279D0" w:rsidRDefault="00214BD7">
      <w:pPr>
        <w:spacing w:before="0" w:after="0"/>
        <w:rPr>
          <w:lang w:val="de-DE"/>
        </w:rPr>
      </w:pPr>
      <w:r>
        <w:rPr>
          <w:lang w:val="de-DE"/>
        </w:rPr>
        <w:t xml:space="preserve">74196 Neuenstadt am Kocher </w:t>
      </w:r>
    </w:p>
    <w:p w14:paraId="43C26C24" w14:textId="77777777" w:rsidR="008279D0" w:rsidRDefault="00214BD7">
      <w:pPr>
        <w:spacing w:before="0" w:after="0"/>
        <w:rPr>
          <w:lang w:val="de-DE"/>
        </w:rPr>
      </w:pPr>
      <w:r>
        <w:rPr>
          <w:lang w:val="de-DE"/>
        </w:rPr>
        <w:t>Tel.: +49 7139 / 4893-536</w:t>
      </w:r>
    </w:p>
    <w:p w14:paraId="14BB7826" w14:textId="77777777" w:rsidR="008279D0" w:rsidRDefault="00214BD7">
      <w:pPr>
        <w:spacing w:before="0" w:after="0"/>
        <w:rPr>
          <w:lang w:val="de-DE"/>
        </w:rPr>
      </w:pPr>
      <w:r>
        <w:rPr>
          <w:lang w:val="de-DE"/>
        </w:rPr>
        <w:t>Fax: +49 7139 / 4893-99 536</w:t>
      </w:r>
    </w:p>
    <w:p w14:paraId="76FCFFD3" w14:textId="77777777" w:rsidR="008279D0" w:rsidRDefault="00214BD7">
      <w:pPr>
        <w:spacing w:before="0" w:after="0"/>
        <w:rPr>
          <w:lang w:val="de-DE"/>
        </w:rPr>
      </w:pPr>
      <w:r>
        <w:rPr>
          <w:lang w:val="de-DE"/>
        </w:rPr>
        <w:t>E-Mail: presse.mlog@kardex.com</w:t>
      </w:r>
    </w:p>
    <w:p w14:paraId="62EF406E" w14:textId="77777777" w:rsidR="008279D0" w:rsidRDefault="00214BD7">
      <w:pPr>
        <w:spacing w:before="0" w:after="0"/>
        <w:rPr>
          <w:lang w:val="de-DE"/>
        </w:rPr>
      </w:pPr>
      <w:r>
        <w:rPr>
          <w:lang w:val="de-DE"/>
        </w:rPr>
        <w:t>Internet: www.kardex-mlog.com</w:t>
      </w:r>
    </w:p>
    <w:p w14:paraId="0F87A2B1" w14:textId="77777777" w:rsidR="008279D0" w:rsidRDefault="00214BD7">
      <w:pPr>
        <w:pStyle w:val="TextHeader"/>
        <w:rPr>
          <w:lang w:val="de-DE"/>
        </w:rPr>
      </w:pPr>
      <w:r>
        <w:rPr>
          <w:lang w:val="de-DE"/>
        </w:rPr>
        <w:t>Pressereferentin:</w:t>
      </w:r>
    </w:p>
    <w:p w14:paraId="617914E6" w14:textId="77777777" w:rsidR="008279D0" w:rsidRDefault="00214BD7">
      <w:pPr>
        <w:spacing w:before="0" w:after="0"/>
        <w:rPr>
          <w:lang w:val="de-DE"/>
        </w:rPr>
      </w:pPr>
      <w:r>
        <w:rPr>
          <w:lang w:val="de-DE"/>
        </w:rPr>
        <w:t>Bettina Wittenberg</w:t>
      </w:r>
    </w:p>
    <w:p w14:paraId="7D23A906" w14:textId="77777777" w:rsidR="008279D0" w:rsidRDefault="00214BD7">
      <w:pPr>
        <w:spacing w:before="0" w:after="0"/>
        <w:rPr>
          <w:lang w:val="de-DE"/>
        </w:rPr>
      </w:pPr>
      <w:r>
        <w:rPr>
          <w:lang w:val="de-DE"/>
        </w:rPr>
        <w:t>Tel.: +49 7139 / 4893-536</w:t>
      </w:r>
    </w:p>
    <w:p w14:paraId="5C18337A" w14:textId="77777777" w:rsidR="008279D0" w:rsidRDefault="00214BD7">
      <w:pPr>
        <w:spacing w:before="0" w:after="0"/>
        <w:rPr>
          <w:lang w:val="de-DE"/>
        </w:rPr>
      </w:pPr>
      <w:r>
        <w:rPr>
          <w:lang w:val="de-DE"/>
        </w:rPr>
        <w:t xml:space="preserve">E-Mail: bettina.wittenberg@kardex.com </w:t>
      </w:r>
    </w:p>
    <w:sectPr w:rsidR="008279D0">
      <w:footerReference w:type="default" r:id="rId13"/>
      <w:pgSz w:w="11906" w:h="16838"/>
      <w:pgMar w:top="993" w:right="1418" w:bottom="1710" w:left="1418" w:header="0"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8B2B" w14:textId="77777777" w:rsidR="00C12C81" w:rsidRDefault="00C12C81">
      <w:pPr>
        <w:spacing w:before="0" w:after="0"/>
      </w:pPr>
      <w:r>
        <w:separator/>
      </w:r>
    </w:p>
  </w:endnote>
  <w:endnote w:type="continuationSeparator" w:id="0">
    <w:p w14:paraId="2297F50D" w14:textId="77777777" w:rsidR="00C12C81" w:rsidRDefault="00C12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charset w:val="00"/>
    <w:family w:val="roman"/>
    <w:pitch w:val="variable"/>
    <w:sig w:usb0="E0002AE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3800" w:type="pct"/>
      <w:tblLayout w:type="fixed"/>
      <w:tblCellMar>
        <w:left w:w="0" w:type="dxa"/>
        <w:right w:w="0" w:type="dxa"/>
      </w:tblCellMar>
      <w:tblLook w:val="04A0" w:firstRow="1" w:lastRow="0" w:firstColumn="1" w:lastColumn="0" w:noHBand="0" w:noVBand="1"/>
    </w:tblPr>
    <w:tblGrid>
      <w:gridCol w:w="3094"/>
      <w:gridCol w:w="3799"/>
    </w:tblGrid>
    <w:tr w:rsidR="008279D0" w14:paraId="51C2BA14" w14:textId="77777777">
      <w:trPr>
        <w:trHeight w:val="706"/>
      </w:trPr>
      <w:tc>
        <w:tcPr>
          <w:tcW w:w="3094" w:type="dxa"/>
          <w:tcBorders>
            <w:top w:val="nil"/>
            <w:left w:val="nil"/>
            <w:bottom w:val="nil"/>
            <w:right w:val="nil"/>
          </w:tcBorders>
          <w:vAlign w:val="bottom"/>
        </w:tcPr>
        <w:p w14:paraId="7C8F87DE" w14:textId="116A7008" w:rsidR="008279D0" w:rsidRDefault="00EC4823">
          <w:pPr>
            <w:pStyle w:val="Fuzeile"/>
            <w:rPr>
              <w:rFonts w:ascii="Calibri" w:eastAsia="Calibri" w:hAnsi="Calibri"/>
            </w:rPr>
          </w:pPr>
          <w:r>
            <w:rPr>
              <w:rFonts w:ascii="Calibri" w:eastAsia="Calibri" w:hAnsi="Calibri"/>
              <w:noProof/>
            </w:rPr>
            <w:drawing>
              <wp:inline distT="0" distB="0" distL="0" distR="0" wp14:anchorId="3B5896FB" wp14:editId="2DAA8038">
                <wp:extent cx="1371600" cy="3466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23337" cy="359744"/>
                        </a:xfrm>
                        <a:prstGeom prst="rect">
                          <a:avLst/>
                        </a:prstGeom>
                      </pic:spPr>
                    </pic:pic>
                  </a:graphicData>
                </a:graphic>
              </wp:inline>
            </w:drawing>
          </w:r>
        </w:p>
      </w:tc>
      <w:tc>
        <w:tcPr>
          <w:tcW w:w="3798" w:type="dxa"/>
          <w:tcBorders>
            <w:top w:val="nil"/>
            <w:left w:val="nil"/>
            <w:bottom w:val="nil"/>
            <w:right w:val="nil"/>
          </w:tcBorders>
          <w:vAlign w:val="bottom"/>
        </w:tcPr>
        <w:p w14:paraId="295C5313" w14:textId="77777777" w:rsidR="008279D0" w:rsidRDefault="008279D0">
          <w:pPr>
            <w:pStyle w:val="Fuzeile"/>
            <w:jc w:val="right"/>
            <w:rPr>
              <w:szCs w:val="16"/>
            </w:rPr>
          </w:pPr>
        </w:p>
        <w:p w14:paraId="55EBCA74" w14:textId="77777777" w:rsidR="008279D0" w:rsidRDefault="008279D0">
          <w:pPr>
            <w:pStyle w:val="Fuzeile"/>
            <w:jc w:val="right"/>
            <w:rPr>
              <w:szCs w:val="16"/>
            </w:rPr>
          </w:pPr>
        </w:p>
      </w:tc>
    </w:tr>
  </w:tbl>
  <w:p w14:paraId="3669675C" w14:textId="77777777" w:rsidR="008279D0" w:rsidRDefault="008279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1BA3" w14:textId="77777777" w:rsidR="00C12C81" w:rsidRDefault="00C12C81">
      <w:pPr>
        <w:spacing w:before="0" w:after="0"/>
      </w:pPr>
      <w:r>
        <w:separator/>
      </w:r>
    </w:p>
  </w:footnote>
  <w:footnote w:type="continuationSeparator" w:id="0">
    <w:p w14:paraId="22056F5F" w14:textId="77777777" w:rsidR="00C12C81" w:rsidRDefault="00C12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845B6"/>
    <w:multiLevelType w:val="multilevel"/>
    <w:tmpl w:val="553685AA"/>
    <w:lvl w:ilvl="0">
      <w:start w:val="1"/>
      <w:numFmt w:val="bullet"/>
      <w:pStyle w:val="Aufzhlungszeichen4"/>
      <w:lvlText w:val=""/>
      <w:lvlJc w:val="left"/>
      <w:pPr>
        <w:tabs>
          <w:tab w:val="num" w:pos="0"/>
        </w:tabs>
        <w:ind w:left="284" w:hanging="284"/>
      </w:pPr>
      <w:rPr>
        <w:rFonts w:ascii="Wingdings" w:hAnsi="Wingdings" w:cs="Wingdings" w:hint="default"/>
      </w:rPr>
    </w:lvl>
    <w:lvl w:ilvl="1">
      <w:start w:val="1"/>
      <w:numFmt w:val="bullet"/>
      <w:lvlText w:val="—"/>
      <w:lvlJc w:val="left"/>
      <w:pPr>
        <w:tabs>
          <w:tab w:val="num" w:pos="0"/>
        </w:tabs>
        <w:ind w:left="567" w:hanging="283"/>
      </w:pPr>
      <w:rPr>
        <w:rFonts w:ascii="Calibri" w:hAnsi="Calibri" w:cs="Calibri" w:hint="default"/>
      </w:rPr>
    </w:lvl>
    <w:lvl w:ilvl="2">
      <w:start w:val="1"/>
      <w:numFmt w:val="bullet"/>
      <w:lvlText w:val=""/>
      <w:lvlJc w:val="left"/>
      <w:pPr>
        <w:tabs>
          <w:tab w:val="num" w:pos="0"/>
        </w:tabs>
        <w:ind w:left="851" w:hanging="284"/>
      </w:pPr>
      <w:rPr>
        <w:rFonts w:ascii="Wingdings" w:hAnsi="Wingdings" w:cs="Wingdings" w:hint="default"/>
      </w:rPr>
    </w:lvl>
    <w:lvl w:ilvl="3">
      <w:start w:val="1"/>
      <w:numFmt w:val="bullet"/>
      <w:lvlText w:val="—"/>
      <w:lvlJc w:val="left"/>
      <w:pPr>
        <w:tabs>
          <w:tab w:val="num" w:pos="0"/>
        </w:tabs>
        <w:ind w:left="1134" w:hanging="283"/>
      </w:pPr>
      <w:rPr>
        <w:rFonts w:ascii="Calibri (Body)" w:hAnsi="Calibri (Body)" w:cs="Calibri (Body)" w:hint="default"/>
      </w:rPr>
    </w:lvl>
    <w:lvl w:ilvl="4">
      <w:start w:val="1"/>
      <w:numFmt w:val="bullet"/>
      <w:lvlText w:val=""/>
      <w:lvlJc w:val="left"/>
      <w:pPr>
        <w:tabs>
          <w:tab w:val="num" w:pos="0"/>
        </w:tabs>
        <w:ind w:left="1418" w:hanging="284"/>
      </w:pPr>
      <w:rPr>
        <w:rFonts w:ascii="Wingdings" w:hAnsi="Wingdings" w:cs="Wingdings" w:hint="default"/>
      </w:rPr>
    </w:lvl>
    <w:lvl w:ilvl="5">
      <w:start w:val="1"/>
      <w:numFmt w:val="bullet"/>
      <w:lvlText w:val="—"/>
      <w:lvlJc w:val="left"/>
      <w:pPr>
        <w:tabs>
          <w:tab w:val="num" w:pos="0"/>
        </w:tabs>
        <w:ind w:left="1701" w:hanging="283"/>
      </w:pPr>
      <w:rPr>
        <w:rFonts w:ascii="Calibri" w:hAnsi="Calibri" w:cs="Calibri" w:hint="default"/>
      </w:rPr>
    </w:lvl>
    <w:lvl w:ilvl="6">
      <w:start w:val="1"/>
      <w:numFmt w:val="bullet"/>
      <w:lvlText w:val=""/>
      <w:lvlJc w:val="left"/>
      <w:pPr>
        <w:tabs>
          <w:tab w:val="num" w:pos="0"/>
        </w:tabs>
        <w:ind w:left="1985" w:hanging="284"/>
      </w:pPr>
      <w:rPr>
        <w:rFonts w:ascii="Wingdings" w:hAnsi="Wingdings" w:cs="Wingdings" w:hint="default"/>
      </w:rPr>
    </w:lvl>
    <w:lvl w:ilvl="7">
      <w:start w:val="1"/>
      <w:numFmt w:val="bullet"/>
      <w:lvlText w:val="—"/>
      <w:lvlJc w:val="left"/>
      <w:pPr>
        <w:tabs>
          <w:tab w:val="num" w:pos="0"/>
        </w:tabs>
        <w:ind w:left="2268" w:hanging="283"/>
      </w:pPr>
      <w:rPr>
        <w:rFonts w:ascii="Calibri" w:hAnsi="Calibri" w:cs="Calibri" w:hint="default"/>
      </w:rPr>
    </w:lvl>
    <w:lvl w:ilvl="8">
      <w:start w:val="1"/>
      <w:numFmt w:val="bullet"/>
      <w:lvlText w:val=""/>
      <w:lvlJc w:val="left"/>
      <w:pPr>
        <w:tabs>
          <w:tab w:val="num" w:pos="0"/>
        </w:tabs>
        <w:ind w:left="2552" w:hanging="284"/>
      </w:pPr>
      <w:rPr>
        <w:rFonts w:ascii="Wingdings" w:hAnsi="Wingdings" w:cs="Wingdings" w:hint="default"/>
      </w:rPr>
    </w:lvl>
  </w:abstractNum>
  <w:abstractNum w:abstractNumId="1" w15:restartNumberingAfterBreak="0">
    <w:nsid w:val="44F064A8"/>
    <w:multiLevelType w:val="multilevel"/>
    <w:tmpl w:val="835CE0FC"/>
    <w:lvl w:ilvl="0">
      <w:start w:val="1"/>
      <w:numFmt w:val="bullet"/>
      <w:pStyle w:val="Titel"/>
      <w:lvlText w:val=""/>
      <w:lvlJc w:val="left"/>
      <w:pPr>
        <w:tabs>
          <w:tab w:val="num" w:pos="0"/>
        </w:tabs>
        <w:ind w:left="0" w:hanging="992"/>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F4A3644"/>
    <w:multiLevelType w:val="multilevel"/>
    <w:tmpl w:val="1370FF1C"/>
    <w:lvl w:ilvl="0">
      <w:start w:val="1"/>
      <w:numFmt w:val="bullet"/>
      <w:pStyle w:val="Untertitel"/>
      <w:lvlText w:val=""/>
      <w:lvlJc w:val="left"/>
      <w:pPr>
        <w:tabs>
          <w:tab w:val="num" w:pos="0"/>
        </w:tabs>
        <w:ind w:left="0" w:hanging="992"/>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D2262C7"/>
    <w:multiLevelType w:val="multilevel"/>
    <w:tmpl w:val="6C5EC95C"/>
    <w:lvl w:ilvl="0">
      <w:start w:val="1"/>
      <w:numFmt w:val="decimal"/>
      <w:pStyle w:val="berschrift1"/>
      <w:lvlText w:val="%1."/>
      <w:lvlJc w:val="left"/>
      <w:pPr>
        <w:tabs>
          <w:tab w:val="num" w:pos="0"/>
        </w:tabs>
        <w:ind w:left="397" w:hanging="397"/>
      </w:pPr>
    </w:lvl>
    <w:lvl w:ilvl="1">
      <w:start w:val="1"/>
      <w:numFmt w:val="decimal"/>
      <w:pStyle w:val="berschrift2"/>
      <w:lvlText w:val="%1.%2"/>
      <w:lvlJc w:val="left"/>
      <w:pPr>
        <w:tabs>
          <w:tab w:val="num" w:pos="0"/>
        </w:tabs>
        <w:ind w:left="567" w:hanging="567"/>
      </w:pPr>
    </w:lvl>
    <w:lvl w:ilvl="2">
      <w:start w:val="1"/>
      <w:numFmt w:val="decimal"/>
      <w:pStyle w:val="berschrift3"/>
      <w:lvlText w:val="%1.%2.%3"/>
      <w:lvlJc w:val="left"/>
      <w:pPr>
        <w:tabs>
          <w:tab w:val="num" w:pos="0"/>
        </w:tabs>
        <w:ind w:left="737" w:hanging="737"/>
      </w:pPr>
    </w:lvl>
    <w:lvl w:ilvl="3">
      <w:start w:val="1"/>
      <w:numFmt w:val="decimal"/>
      <w:pStyle w:val="berschrift4"/>
      <w:lvlText w:val="%1.%2.%3.%4"/>
      <w:lvlJc w:val="left"/>
      <w:pPr>
        <w:tabs>
          <w:tab w:val="num" w:pos="0"/>
        </w:tabs>
        <w:ind w:left="1021" w:hanging="1021"/>
      </w:pPr>
    </w:lvl>
    <w:lvl w:ilvl="4">
      <w:start w:val="1"/>
      <w:numFmt w:val="decimal"/>
      <w:pStyle w:val="berschrift5"/>
      <w:lvlText w:val="%1.%2.%3.%4.%5"/>
      <w:lvlJc w:val="left"/>
      <w:pPr>
        <w:tabs>
          <w:tab w:val="num" w:pos="0"/>
        </w:tabs>
        <w:ind w:left="1021" w:hanging="1021"/>
      </w:pPr>
    </w:lvl>
    <w:lvl w:ilvl="5">
      <w:start w:val="1"/>
      <w:numFmt w:val="decimal"/>
      <w:pStyle w:val="berschrift6"/>
      <w:lvlText w:val="%1.%2.%3.%4.%5.%6"/>
      <w:lvlJc w:val="left"/>
      <w:pPr>
        <w:tabs>
          <w:tab w:val="num" w:pos="0"/>
        </w:tabs>
        <w:ind w:left="1191" w:hanging="1191"/>
      </w:pPr>
    </w:lvl>
    <w:lvl w:ilvl="6">
      <w:start w:val="1"/>
      <w:numFmt w:val="decimal"/>
      <w:pStyle w:val="berschrift7"/>
      <w:lvlText w:val="%1.%2.%3.%4.%5.%6.%7"/>
      <w:lvlJc w:val="left"/>
      <w:pPr>
        <w:tabs>
          <w:tab w:val="num" w:pos="0"/>
        </w:tabs>
        <w:ind w:left="1304" w:hanging="1304"/>
      </w:pPr>
    </w:lvl>
    <w:lvl w:ilvl="7">
      <w:start w:val="1"/>
      <w:numFmt w:val="decimal"/>
      <w:pStyle w:val="berschrift8"/>
      <w:lvlText w:val="%1.%2.%3.%4.%5.%6.%7.%8"/>
      <w:lvlJc w:val="left"/>
      <w:pPr>
        <w:tabs>
          <w:tab w:val="num" w:pos="2835"/>
        </w:tabs>
        <w:ind w:left="1474" w:hanging="1474"/>
      </w:pPr>
    </w:lvl>
    <w:lvl w:ilvl="8">
      <w:start w:val="1"/>
      <w:numFmt w:val="decimal"/>
      <w:pStyle w:val="berschrift9"/>
      <w:lvlText w:val="%1.%2.%3.%4.%5.%6.%7.%8.%9"/>
      <w:lvlJc w:val="left"/>
      <w:pPr>
        <w:tabs>
          <w:tab w:val="num" w:pos="0"/>
        </w:tabs>
        <w:ind w:left="1588" w:hanging="1588"/>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D0"/>
    <w:rsid w:val="00214BD7"/>
    <w:rsid w:val="0029075A"/>
    <w:rsid w:val="007A1FAC"/>
    <w:rsid w:val="008279D0"/>
    <w:rsid w:val="00A068ED"/>
    <w:rsid w:val="00B16934"/>
    <w:rsid w:val="00BE3656"/>
    <w:rsid w:val="00BF77B0"/>
    <w:rsid w:val="00C12C81"/>
    <w:rsid w:val="00C156FF"/>
    <w:rsid w:val="00EC4823"/>
    <w:rsid w:val="00F9720C"/>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DE629"/>
  <w15:docId w15:val="{6C61B1E4-1CDB-407D-8797-A2CB7557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8FC"/>
    <w:pPr>
      <w:spacing w:before="200" w:after="200"/>
    </w:pPr>
    <w:rPr>
      <w:sz w:val="20"/>
      <w:lang w:val="en-US" w:eastAsia="zh-TW"/>
    </w:rPr>
  </w:style>
  <w:style w:type="paragraph" w:styleId="berschrift1">
    <w:name w:val="heading 1"/>
    <w:next w:val="Standard"/>
    <w:uiPriority w:val="9"/>
    <w:qFormat/>
    <w:rsid w:val="00F32E7E"/>
    <w:pPr>
      <w:keepNext/>
      <w:keepLines/>
      <w:numPr>
        <w:numId w:val="1"/>
      </w:numPr>
      <w:pBdr>
        <w:bottom w:val="single" w:sz="8" w:space="1" w:color="83BC00"/>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uiPriority w:val="9"/>
    <w:qFormat/>
    <w:rsid w:val="00F32E7E"/>
    <w:pPr>
      <w:numPr>
        <w:ilvl w:val="1"/>
      </w:numPr>
      <w:pBdr>
        <w:bottom w:val="nil"/>
      </w:pBdr>
      <w:outlineLvl w:val="1"/>
    </w:pPr>
    <w:rPr>
      <w:rFonts w:cstheme="majorBidi"/>
      <w:szCs w:val="26"/>
    </w:rPr>
  </w:style>
  <w:style w:type="paragraph" w:styleId="berschrift3">
    <w:name w:val="heading 3"/>
    <w:basedOn w:val="berschrift2"/>
    <w:next w:val="Standard"/>
    <w:uiPriority w:val="9"/>
    <w:qFormat/>
    <w:rsid w:val="00F32E7E"/>
    <w:pPr>
      <w:numPr>
        <w:ilvl w:val="2"/>
      </w:numPr>
      <w:spacing w:before="420"/>
      <w:outlineLvl w:val="2"/>
    </w:pPr>
    <w:rPr>
      <w:sz w:val="28"/>
    </w:rPr>
  </w:style>
  <w:style w:type="paragraph" w:styleId="berschrift4">
    <w:name w:val="heading 4"/>
    <w:basedOn w:val="berschrift3"/>
    <w:next w:val="Standard"/>
    <w:uiPriority w:val="9"/>
    <w:qFormat/>
    <w:rsid w:val="00F32E7E"/>
    <w:pPr>
      <w:numPr>
        <w:ilvl w:val="3"/>
      </w:numPr>
      <w:outlineLvl w:val="3"/>
    </w:pPr>
    <w:rPr>
      <w:iCs/>
    </w:rPr>
  </w:style>
  <w:style w:type="paragraph" w:styleId="berschrift5">
    <w:name w:val="heading 5"/>
    <w:basedOn w:val="Standard"/>
    <w:next w:val="Standard"/>
    <w:uiPriority w:val="9"/>
    <w:qFormat/>
    <w:rsid w:val="00F32E7E"/>
    <w:pPr>
      <w:keepNext/>
      <w:keepLines/>
      <w:numPr>
        <w:ilvl w:val="4"/>
        <w:numId w:val="1"/>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uiPriority w:val="9"/>
    <w:qFormat/>
    <w:rsid w:val="00F32E7E"/>
    <w:pPr>
      <w:keepNext/>
      <w:keepLines/>
      <w:numPr>
        <w:ilvl w:val="5"/>
        <w:numId w:val="1"/>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uiPriority w:val="9"/>
    <w:qFormat/>
    <w:rsid w:val="00F32E7E"/>
    <w:pPr>
      <w:keepNext/>
      <w:keepLines/>
      <w:numPr>
        <w:ilvl w:val="6"/>
        <w:numId w:val="1"/>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uiPriority w:val="9"/>
    <w:qFormat/>
    <w:rsid w:val="00F32E7E"/>
    <w:pPr>
      <w:keepNext/>
      <w:keepLines/>
      <w:numPr>
        <w:ilvl w:val="7"/>
        <w:numId w:val="1"/>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uiPriority w:val="9"/>
    <w:qFormat/>
    <w:rsid w:val="00F32E7E"/>
    <w:pPr>
      <w:keepNext/>
      <w:keepLines/>
      <w:numPr>
        <w:ilvl w:val="8"/>
        <w:numId w:val="1"/>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F32E7E"/>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uiPriority w:val="9"/>
    <w:qFormat/>
    <w:rsid w:val="00F32E7E"/>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uiPriority w:val="9"/>
    <w:qFormat/>
    <w:rsid w:val="00F32E7E"/>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uiPriority w:val="9"/>
    <w:qFormat/>
    <w:rsid w:val="00F32E7E"/>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uiPriority w:val="9"/>
    <w:qFormat/>
    <w:rsid w:val="00F32E7E"/>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uiPriority w:val="9"/>
    <w:qFormat/>
    <w:rsid w:val="00F32E7E"/>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uiPriority w:val="9"/>
    <w:qFormat/>
    <w:rsid w:val="00F32E7E"/>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uiPriority w:val="9"/>
    <w:qFormat/>
    <w:rsid w:val="00F32E7E"/>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uiPriority w:val="9"/>
    <w:qFormat/>
    <w:rsid w:val="00F32E7E"/>
    <w:rPr>
      <w:rFonts w:asciiTheme="majorHAnsi" w:eastAsiaTheme="majorEastAsia" w:hAnsiTheme="majorHAnsi" w:cstheme="majorBidi"/>
      <w:b/>
      <w:iCs/>
      <w:color w:val="0060BF" w:themeColor="text2"/>
      <w:sz w:val="20"/>
      <w:szCs w:val="21"/>
      <w:lang w:val="en-US" w:eastAsia="zh-TW"/>
    </w:rPr>
  </w:style>
  <w:style w:type="character" w:customStyle="1" w:styleId="TitelZchn">
    <w:name w:val="Titel Zchn"/>
    <w:basedOn w:val="Absatz-Standardschriftart"/>
    <w:link w:val="Titel"/>
    <w:uiPriority w:val="10"/>
    <w:qFormat/>
    <w:rsid w:val="00F32E7E"/>
    <w:rPr>
      <w:rFonts w:asciiTheme="majorHAnsi" w:eastAsiaTheme="majorEastAsia" w:hAnsiTheme="majorHAnsi" w:cs="Times New Roman (Headings CS)"/>
      <w:color w:val="0060BF" w:themeColor="text2"/>
      <w:spacing w:val="5"/>
      <w:kern w:val="2"/>
      <w:sz w:val="52"/>
      <w:szCs w:val="56"/>
      <w:lang w:val="en-US" w:eastAsia="zh-TW"/>
    </w:rPr>
  </w:style>
  <w:style w:type="character" w:customStyle="1" w:styleId="UntertitelZchn">
    <w:name w:val="Untertitel Zchn"/>
    <w:basedOn w:val="Absatz-Standardschriftart"/>
    <w:link w:val="Untertitel"/>
    <w:uiPriority w:val="11"/>
    <w:qFormat/>
    <w:rsid w:val="00F32E7E"/>
    <w:rPr>
      <w:rFonts w:eastAsiaTheme="minorEastAsia" w:cs="Times New Roman (Body CS)"/>
      <w:color w:val="83BC00" w:themeColor="accent1"/>
      <w:spacing w:val="15"/>
      <w:kern w:val="2"/>
      <w:sz w:val="44"/>
      <w:szCs w:val="22"/>
      <w:lang w:val="en-US" w:eastAsia="zh-TW"/>
    </w:rPr>
  </w:style>
  <w:style w:type="character" w:customStyle="1" w:styleId="KopfzeileZchn">
    <w:name w:val="Kopfzeile Zchn"/>
    <w:basedOn w:val="Absatz-Standardschriftart"/>
    <w:link w:val="Kopfzeile"/>
    <w:uiPriority w:val="99"/>
    <w:qFormat/>
    <w:rsid w:val="00F32E7E"/>
    <w:rPr>
      <w:color w:val="636B67" w:themeColor="accent4"/>
      <w:sz w:val="20"/>
      <w:lang w:val="en-US" w:eastAsia="zh-TW"/>
    </w:rPr>
  </w:style>
  <w:style w:type="character" w:customStyle="1" w:styleId="FuzeileZchn">
    <w:name w:val="Fußzeile Zchn"/>
    <w:basedOn w:val="Absatz-Standardschriftart"/>
    <w:link w:val="Fuzeile"/>
    <w:uiPriority w:val="99"/>
    <w:qFormat/>
    <w:rsid w:val="00F32E7E"/>
    <w:rPr>
      <w:rFonts w:cs="Times New Roman (Body CS)"/>
      <w:color w:val="636B67" w:themeColor="accent4"/>
      <w:sz w:val="16"/>
      <w:lang w:val="en-US" w:eastAsia="zh-TW"/>
    </w:rPr>
  </w:style>
  <w:style w:type="character" w:styleId="Seitenzahl">
    <w:name w:val="page number"/>
    <w:basedOn w:val="Absatz-Standardschriftart"/>
    <w:uiPriority w:val="99"/>
    <w:qFormat/>
    <w:rsid w:val="00F32E7E"/>
    <w:rPr>
      <w:color w:val="636B67" w:themeColor="accent4"/>
      <w:sz w:val="18"/>
    </w:rPr>
  </w:style>
  <w:style w:type="character" w:customStyle="1" w:styleId="SprechblasentextZchn">
    <w:name w:val="Sprechblasentext Zchn"/>
    <w:basedOn w:val="Absatz-Standardschriftart"/>
    <w:link w:val="Sprechblasentext"/>
    <w:uiPriority w:val="99"/>
    <w:semiHidden/>
    <w:qFormat/>
    <w:rsid w:val="00F32E7E"/>
    <w:rPr>
      <w:rFonts w:cs="Times New Roman"/>
      <w:sz w:val="18"/>
      <w:szCs w:val="18"/>
      <w:lang w:val="en-US" w:eastAsia="zh-TW"/>
    </w:rPr>
  </w:style>
  <w:style w:type="character" w:customStyle="1" w:styleId="KommentartextZchn">
    <w:name w:val="Kommentartext Zchn"/>
    <w:basedOn w:val="Absatz-Standardschriftart"/>
    <w:link w:val="Kommentartext"/>
    <w:qFormat/>
    <w:rsid w:val="00920605"/>
    <w:rPr>
      <w:rFonts w:ascii="Times New Roman" w:eastAsia="Times New Roman" w:hAnsi="Times New Roman" w:cs="Times New Roman"/>
      <w:lang w:val="de-DE" w:eastAsia="de-DE"/>
    </w:rPr>
  </w:style>
  <w:style w:type="character" w:customStyle="1" w:styleId="apple-converted-space">
    <w:name w:val="apple-converted-space"/>
    <w:basedOn w:val="Absatz-Standardschriftart"/>
    <w:qFormat/>
    <w:rsid w:val="0040450F"/>
  </w:style>
  <w:style w:type="character" w:customStyle="1" w:styleId="Internetverknpfung">
    <w:name w:val="Internetverknüpfung"/>
    <w:basedOn w:val="Absatz-Standardschriftart"/>
    <w:uiPriority w:val="99"/>
    <w:semiHidden/>
    <w:unhideWhenUsed/>
    <w:rsid w:val="0040450F"/>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before="0" w:after="140" w:line="276" w:lineRule="auto"/>
    </w:pPr>
  </w:style>
  <w:style w:type="paragraph" w:styleId="Liste">
    <w:name w:val="List"/>
    <w:basedOn w:val="Textkrper"/>
    <w:rPr>
      <w:rFonts w:cs="Arial"/>
    </w:rPr>
  </w:style>
  <w:style w:type="paragraph" w:styleId="Beschriftung">
    <w:name w:val="caption"/>
    <w:basedOn w:val="Standard"/>
    <w:next w:val="Standard"/>
    <w:uiPriority w:val="35"/>
    <w:qFormat/>
    <w:rsid w:val="00F32E7E"/>
    <w:pPr>
      <w:spacing w:after="400"/>
    </w:pPr>
    <w:rPr>
      <w:i/>
      <w:iCs/>
      <w:sz w:val="18"/>
      <w:szCs w:val="18"/>
    </w:rPr>
  </w:style>
  <w:style w:type="paragraph" w:customStyle="1" w:styleId="Verzeichnis">
    <w:name w:val="Verzeichnis"/>
    <w:basedOn w:val="Standard"/>
    <w:qFormat/>
    <w:pPr>
      <w:suppressLineNumbers/>
    </w:pPr>
    <w:rPr>
      <w:rFonts w:cs="Arial"/>
    </w:rPr>
  </w:style>
  <w:style w:type="paragraph" w:styleId="Aufzhlungszeichen">
    <w:name w:val="List Bullet"/>
    <w:uiPriority w:val="12"/>
    <w:qFormat/>
    <w:rsid w:val="00F32E7E"/>
    <w:pPr>
      <w:keepLines/>
      <w:spacing w:before="60" w:after="60"/>
      <w:outlineLvl w:val="0"/>
    </w:pPr>
    <w:rPr>
      <w:sz w:val="20"/>
      <w:lang w:val="en-US" w:eastAsia="zh-TW"/>
    </w:rPr>
  </w:style>
  <w:style w:type="paragraph" w:styleId="Aufzhlungszeichen2">
    <w:name w:val="List Bullet 2"/>
    <w:basedOn w:val="Aufzhlungszeichen"/>
    <w:uiPriority w:val="12"/>
    <w:qFormat/>
    <w:rsid w:val="00F32E7E"/>
    <w:pPr>
      <w:outlineLvl w:val="1"/>
    </w:pPr>
  </w:style>
  <w:style w:type="paragraph" w:styleId="Aufzhlungszeichen3">
    <w:name w:val="List Bullet 3"/>
    <w:basedOn w:val="Aufzhlungszeichen2"/>
    <w:uiPriority w:val="12"/>
    <w:qFormat/>
    <w:rsid w:val="00F32E7E"/>
    <w:pPr>
      <w:outlineLvl w:val="2"/>
    </w:pPr>
  </w:style>
  <w:style w:type="paragraph" w:styleId="Aufzhlungszeichen4">
    <w:name w:val="List Bullet 4"/>
    <w:basedOn w:val="Standard"/>
    <w:uiPriority w:val="12"/>
    <w:qFormat/>
    <w:rsid w:val="00F32E7E"/>
    <w:pPr>
      <w:keepLines/>
      <w:numPr>
        <w:numId w:val="4"/>
      </w:numPr>
      <w:spacing w:before="60" w:after="60"/>
    </w:pPr>
  </w:style>
  <w:style w:type="paragraph" w:styleId="Aufzhlungszeichen5">
    <w:name w:val="List Bullet 5"/>
    <w:basedOn w:val="Aufzhlungszeichen4"/>
    <w:uiPriority w:val="12"/>
    <w:qFormat/>
    <w:rsid w:val="00F32E7E"/>
    <w:pPr>
      <w:outlineLvl w:val="4"/>
    </w:pPr>
  </w:style>
  <w:style w:type="paragraph" w:styleId="Listennummer">
    <w:name w:val="List Number"/>
    <w:uiPriority w:val="13"/>
    <w:qFormat/>
    <w:rsid w:val="00F32E7E"/>
    <w:pPr>
      <w:keepLines/>
      <w:spacing w:before="60" w:after="60"/>
      <w:outlineLvl w:val="0"/>
    </w:pPr>
    <w:rPr>
      <w:sz w:val="20"/>
      <w:lang w:val="en-US" w:eastAsia="zh-TW"/>
    </w:rPr>
  </w:style>
  <w:style w:type="paragraph" w:styleId="Listennummer2">
    <w:name w:val="List Number 2"/>
    <w:basedOn w:val="Listennummer"/>
    <w:uiPriority w:val="13"/>
    <w:qFormat/>
    <w:rsid w:val="00F32E7E"/>
    <w:pPr>
      <w:outlineLvl w:val="1"/>
    </w:pPr>
  </w:style>
  <w:style w:type="paragraph" w:styleId="Listennummer3">
    <w:name w:val="List Number 3"/>
    <w:basedOn w:val="Listennummer2"/>
    <w:uiPriority w:val="13"/>
    <w:qFormat/>
    <w:rsid w:val="00F32E7E"/>
    <w:pPr>
      <w:outlineLvl w:val="2"/>
    </w:pPr>
  </w:style>
  <w:style w:type="paragraph" w:styleId="Listennummer4">
    <w:name w:val="List Number 4"/>
    <w:basedOn w:val="Listennummer3"/>
    <w:uiPriority w:val="13"/>
    <w:qFormat/>
    <w:rsid w:val="00F32E7E"/>
    <w:pPr>
      <w:outlineLvl w:val="3"/>
    </w:pPr>
  </w:style>
  <w:style w:type="paragraph" w:styleId="Listennummer5">
    <w:name w:val="List Number 5"/>
    <w:basedOn w:val="Listennummer4"/>
    <w:uiPriority w:val="13"/>
    <w:qFormat/>
    <w:rsid w:val="00F32E7E"/>
    <w:pPr>
      <w:outlineLvl w:val="4"/>
    </w:pPr>
  </w:style>
  <w:style w:type="paragraph" w:styleId="Inhaltsverzeichnisberschrift">
    <w:name w:val="TOC Heading"/>
    <w:basedOn w:val="berschrift1"/>
    <w:next w:val="Standard"/>
    <w:uiPriority w:val="39"/>
    <w:qFormat/>
    <w:rsid w:val="00F32E7E"/>
    <w:pPr>
      <w:pageBreakBefore/>
      <w:numPr>
        <w:numId w:val="0"/>
      </w:numPr>
      <w:ind w:left="397" w:hanging="397"/>
    </w:pPr>
    <w:rPr>
      <w:rFonts w:cstheme="majorBidi"/>
    </w:rPr>
  </w:style>
  <w:style w:type="paragraph" w:styleId="Titel">
    <w:name w:val="Title"/>
    <w:basedOn w:val="Standard"/>
    <w:next w:val="Untertitel"/>
    <w:link w:val="TitelZchn"/>
    <w:uiPriority w:val="10"/>
    <w:qFormat/>
    <w:rsid w:val="00F32E7E"/>
    <w:pPr>
      <w:keepLines/>
      <w:pageBreakBefore/>
      <w:numPr>
        <w:numId w:val="2"/>
      </w:numPr>
      <w:pBdr>
        <w:top w:val="single" w:sz="48" w:space="10" w:color="FFFFFF"/>
        <w:left w:val="single" w:sz="96" w:space="4" w:color="0060BF"/>
        <w:bottom w:val="single" w:sz="48" w:space="10" w:color="FFFFFF"/>
      </w:pBdr>
      <w:spacing w:before="3000" w:line="276" w:lineRule="auto"/>
      <w:ind w:right="2268" w:firstLine="0"/>
    </w:pPr>
    <w:rPr>
      <w:rFonts w:asciiTheme="majorHAnsi" w:eastAsiaTheme="majorEastAsia" w:hAnsiTheme="majorHAnsi" w:cs="Times New Roman (Headings CS)"/>
      <w:color w:val="0060BF" w:themeColor="text2"/>
      <w:spacing w:val="5"/>
      <w:kern w:val="2"/>
      <w:sz w:val="52"/>
      <w:szCs w:val="56"/>
    </w:rPr>
  </w:style>
  <w:style w:type="paragraph" w:styleId="Untertitel">
    <w:name w:val="Subtitle"/>
    <w:basedOn w:val="Standard"/>
    <w:next w:val="Standard"/>
    <w:link w:val="UntertitelZchn"/>
    <w:uiPriority w:val="11"/>
    <w:qFormat/>
    <w:rsid w:val="00F32E7E"/>
    <w:pPr>
      <w:keepLines/>
      <w:numPr>
        <w:numId w:val="3"/>
      </w:numPr>
      <w:pBdr>
        <w:top w:val="single" w:sz="48" w:space="5" w:color="FFFFFF"/>
        <w:left w:val="single" w:sz="96" w:space="4" w:color="83BC00"/>
        <w:bottom w:val="single" w:sz="48" w:space="5" w:color="FFFFFF"/>
      </w:pBdr>
      <w:spacing w:after="600"/>
      <w:ind w:right="2268" w:firstLine="0"/>
    </w:pPr>
    <w:rPr>
      <w:rFonts w:eastAsiaTheme="minorEastAsia" w:cs="Times New Roman (Body CS)"/>
      <w:color w:val="83BC00" w:themeColor="accent1"/>
      <w:spacing w:val="15"/>
      <w:kern w:val="2"/>
      <w:sz w:val="44"/>
      <w:szCs w:val="22"/>
    </w:rPr>
  </w:style>
  <w:style w:type="paragraph" w:styleId="Blocktext">
    <w:name w:val="Block Text"/>
    <w:basedOn w:val="Standard"/>
    <w:next w:val="Standard"/>
    <w:uiPriority w:val="99"/>
    <w:qFormat/>
    <w:rsid w:val="00F32E7E"/>
    <w:pPr>
      <w:pBdr>
        <w:top w:val="single" w:sz="8" w:space="10" w:color="83BC00"/>
        <w:bottom w:val="single" w:sz="8" w:space="10" w:color="83BC00"/>
        <w:right w:val="single" w:sz="8" w:space="10" w:color="83BC00"/>
      </w:pBdr>
      <w:ind w:right="1134"/>
      <w:contextualSpacing/>
    </w:pPr>
    <w:rPr>
      <w:rFonts w:eastAsiaTheme="minorEastAsia"/>
      <w:iCs/>
      <w:color w:val="83BC00" w:themeColor="accent1"/>
      <w:sz w:val="32"/>
    </w:rPr>
  </w:style>
  <w:style w:type="paragraph" w:customStyle="1" w:styleId="DocumentTitle">
    <w:name w:val="Document Title"/>
    <w:basedOn w:val="Standard"/>
    <w:next w:val="Standard"/>
    <w:uiPriority w:val="7"/>
    <w:qFormat/>
    <w:rsid w:val="00F32E7E"/>
    <w:pPr>
      <w:pBdr>
        <w:top w:val="single" w:sz="8" w:space="3" w:color="83BC00"/>
        <w:bottom w:val="single" w:sz="8" w:space="3" w:color="83BC00"/>
        <w:right w:val="single" w:sz="8" w:space="3" w:color="83BC00"/>
      </w:pBdr>
      <w:spacing w:line="276" w:lineRule="auto"/>
    </w:pPr>
    <w:rPr>
      <w:b/>
      <w:color w:val="0060BF" w:themeColor="text2"/>
      <w:sz w:val="32"/>
    </w:rPr>
  </w:style>
  <w:style w:type="paragraph" w:customStyle="1" w:styleId="Kopf-undFuzeile">
    <w:name w:val="Kopf- und Fußzeile"/>
    <w:basedOn w:val="Standard"/>
    <w:qFormat/>
  </w:style>
  <w:style w:type="paragraph" w:styleId="Kopfzeile">
    <w:name w:val="header"/>
    <w:basedOn w:val="Standard"/>
    <w:link w:val="KopfzeileZchn"/>
    <w:uiPriority w:val="99"/>
    <w:qFormat/>
    <w:rsid w:val="00F32E7E"/>
    <w:pPr>
      <w:tabs>
        <w:tab w:val="center" w:pos="4536"/>
        <w:tab w:val="right" w:pos="9072"/>
      </w:tabs>
      <w:spacing w:before="0" w:after="0"/>
    </w:pPr>
    <w:rPr>
      <w:color w:val="636B67" w:themeColor="accent4"/>
    </w:rPr>
  </w:style>
  <w:style w:type="paragraph" w:styleId="Fuzeile">
    <w:name w:val="footer"/>
    <w:basedOn w:val="Standard"/>
    <w:link w:val="FuzeileZchn"/>
    <w:uiPriority w:val="99"/>
    <w:qFormat/>
    <w:rsid w:val="00F32E7E"/>
    <w:pPr>
      <w:spacing w:before="0" w:after="0"/>
    </w:pPr>
    <w:rPr>
      <w:rFonts w:cs="Times New Roman (Body CS)"/>
      <w:color w:val="636B67" w:themeColor="accent4"/>
      <w:sz w:val="16"/>
    </w:rPr>
  </w:style>
  <w:style w:type="paragraph" w:styleId="Umschlagabsenderadresse">
    <w:name w:val="envelope return"/>
    <w:basedOn w:val="Standard"/>
    <w:uiPriority w:val="99"/>
    <w:qFormat/>
    <w:rsid w:val="00F32E7E"/>
    <w:pPr>
      <w:spacing w:before="0" w:after="0"/>
    </w:pPr>
    <w:rPr>
      <w:rFonts w:asciiTheme="majorHAnsi" w:eastAsiaTheme="majorEastAsia" w:hAnsiTheme="majorHAnsi" w:cstheme="majorBidi"/>
      <w:color w:val="636B67" w:themeColor="accent4"/>
      <w:sz w:val="14"/>
      <w:szCs w:val="20"/>
    </w:rPr>
  </w:style>
  <w:style w:type="paragraph" w:styleId="KeinLeerraum">
    <w:name w:val="No Spacing"/>
    <w:basedOn w:val="Standard"/>
    <w:uiPriority w:val="1"/>
    <w:qFormat/>
    <w:rsid w:val="00F32E7E"/>
    <w:pPr>
      <w:spacing w:before="0" w:after="0"/>
    </w:pPr>
  </w:style>
  <w:style w:type="paragraph" w:styleId="Sprechblasentext">
    <w:name w:val="Balloon Text"/>
    <w:basedOn w:val="Standard"/>
    <w:link w:val="SprechblasentextZchn"/>
    <w:uiPriority w:val="99"/>
    <w:semiHidden/>
    <w:qFormat/>
    <w:rsid w:val="00F32E7E"/>
    <w:pPr>
      <w:spacing w:before="0" w:after="0"/>
    </w:pPr>
    <w:rPr>
      <w:rFonts w:cs="Times New Roman"/>
      <w:sz w:val="18"/>
      <w:szCs w:val="18"/>
    </w:rPr>
  </w:style>
  <w:style w:type="paragraph" w:customStyle="1" w:styleId="TextHeader">
    <w:name w:val="Text Header"/>
    <w:basedOn w:val="Standard"/>
    <w:qFormat/>
    <w:rsid w:val="00F32E7E"/>
    <w:rPr>
      <w:b/>
      <w:color w:val="0060BF" w:themeColor="text2"/>
    </w:rPr>
  </w:style>
  <w:style w:type="paragraph" w:styleId="Kommentartext">
    <w:name w:val="annotation text"/>
    <w:basedOn w:val="Standard"/>
    <w:link w:val="KommentartextZchn"/>
    <w:qFormat/>
    <w:rsid w:val="00920605"/>
    <w:pPr>
      <w:spacing w:before="0" w:after="0"/>
    </w:pPr>
    <w:rPr>
      <w:rFonts w:ascii="Times New Roman" w:eastAsia="Times New Roman" w:hAnsi="Times New Roman" w:cs="Times New Roman"/>
      <w:sz w:val="24"/>
      <w:lang w:val="de-DE" w:eastAsia="de-DE"/>
    </w:rPr>
  </w:style>
  <w:style w:type="numbering" w:customStyle="1" w:styleId="Headings">
    <w:name w:val="Headings"/>
    <w:uiPriority w:val="99"/>
    <w:qFormat/>
    <w:rsid w:val="00F32E7E"/>
  </w:style>
  <w:style w:type="numbering" w:customStyle="1" w:styleId="Bullets">
    <w:name w:val="Bullets"/>
    <w:uiPriority w:val="99"/>
    <w:qFormat/>
    <w:rsid w:val="00F32E7E"/>
  </w:style>
  <w:style w:type="numbering" w:customStyle="1" w:styleId="Numbers">
    <w:name w:val="Numbers"/>
    <w:uiPriority w:val="99"/>
    <w:qFormat/>
    <w:rsid w:val="00F32E7E"/>
  </w:style>
  <w:style w:type="table" w:customStyle="1" w:styleId="Kardex">
    <w:name w:val="Kardex"/>
    <w:basedOn w:val="NormaleTabelle"/>
    <w:uiPriority w:val="99"/>
    <w:rsid w:val="00F32E7E"/>
    <w:rPr>
      <w:sz w:val="20"/>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83BC00"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83BC00"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F32E7E"/>
    <w:rPr>
      <w:sz w:val="20"/>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83BC00"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83BC00" w:themeColor="accent1"/>
      </w:rPr>
    </w:tblStylePr>
    <w:tblStylePr w:type="lastCol">
      <w:rPr>
        <w:b/>
        <w:color w:val="0060BF" w:themeColor="text2"/>
      </w:rPr>
    </w:tblStylePr>
  </w:style>
  <w:style w:type="table" w:styleId="Tabellenraster">
    <w:name w:val="Table Grid"/>
    <w:basedOn w:val="NormaleTabelle"/>
    <w:uiPriority w:val="39"/>
    <w:rsid w:val="00F32E7E"/>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EC4823"/>
    <w:rPr>
      <w:color w:val="0060BF" w:themeColor="hyperlink"/>
      <w:u w:val="single"/>
    </w:rPr>
  </w:style>
  <w:style w:type="character" w:styleId="NichtaufgelsteErwhnung">
    <w:name w:val="Unresolved Mention"/>
    <w:basedOn w:val="Absatz-Standardschriftart"/>
    <w:uiPriority w:val="99"/>
    <w:semiHidden/>
    <w:unhideWhenUsed/>
    <w:rsid w:val="00EC4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38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de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Kardex Division">
      <a:dk1>
        <a:sysClr val="windowText" lastClr="000000"/>
      </a:dk1>
      <a:lt1>
        <a:srgbClr val="FFFFFF"/>
      </a:lt1>
      <a:dk2>
        <a:srgbClr val="0060BF"/>
      </a:dk2>
      <a:lt2>
        <a:srgbClr val="9BAAB4"/>
      </a:lt2>
      <a:accent1>
        <a:srgbClr val="83BC00"/>
      </a:accent1>
      <a:accent2>
        <a:srgbClr val="0069A5"/>
      </a:accent2>
      <a:accent3>
        <a:srgbClr val="69852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2">
      <a:srgbClr val="93602D"/>
    </a:custClr>
    <a:custClr name="Purple 2">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4502875D7C07419D6973934FB80A01" ma:contentTypeVersion="5" ma:contentTypeDescription="Create a new document." ma:contentTypeScope="" ma:versionID="0cfc003c8b9a8dc832d5a3c272d3bacb">
  <xsd:schema xmlns:xsd="http://www.w3.org/2001/XMLSchema" xmlns:xs="http://www.w3.org/2001/XMLSchema" xmlns:p="http://schemas.microsoft.com/office/2006/metadata/properties" xmlns:ns2="d5a61792-4087-415b-a353-296618bea95c" targetNamespace="http://schemas.microsoft.com/office/2006/metadata/properties" ma:root="true" ma:fieldsID="d89c7f8a7b393e5af3d2273638affe91"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362FC29F-662E-4657-A968-8DC458368360}">
  <ds:schemaRefs>
    <ds:schemaRef ds:uri="http://schemas.openxmlformats.org/officeDocument/2006/bibliography"/>
  </ds:schemaRefs>
</ds:datastoreItem>
</file>

<file path=customXml/itemProps4.xml><?xml version="1.0" encoding="utf-8"?>
<ds:datastoreItem xmlns:ds="http://schemas.openxmlformats.org/officeDocument/2006/customXml" ds:itemID="{E4262852-9A32-42EE-B97F-77AE4B7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Kardex AG</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dc:creator>
  <dc:description/>
  <cp:lastModifiedBy>Marcus Walter</cp:lastModifiedBy>
  <cp:revision>3</cp:revision>
  <cp:lastPrinted>2021-01-26T10:16:00Z</cp:lastPrinted>
  <dcterms:created xsi:type="dcterms:W3CDTF">2021-01-27T18:36:00Z</dcterms:created>
  <dcterms:modified xsi:type="dcterms:W3CDTF">2021-01-28T07:32:00Z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Kardex AG</vt:lpwstr>
  </property>
  <property fmtid="{D5CDD505-2E9C-101B-9397-08002B2CF9AE}" pid="4" name="ContentTypeId">
    <vt:lpwstr>0x010100854502875D7C07419D6973934FB80A01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